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DA" w:rsidRPr="007F3917" w:rsidRDefault="00056609" w:rsidP="007F3917">
      <w:pPr>
        <w:spacing w:line="276" w:lineRule="auto"/>
        <w:jc w:val="center"/>
        <w:rPr>
          <w:rFonts w:asciiTheme="minorHAnsi" w:hAnsiTheme="minorHAnsi"/>
          <w:sz w:val="24"/>
          <w:szCs w:val="24"/>
        </w:rPr>
      </w:pPr>
      <w:r w:rsidRPr="007F3917">
        <w:rPr>
          <w:rFonts w:asciiTheme="minorHAnsi" w:hAnsiTheme="minorHAnsi"/>
          <w:b/>
          <w:sz w:val="24"/>
          <w:szCs w:val="24"/>
        </w:rPr>
        <w:t>Viet</w:t>
      </w:r>
      <w:r w:rsidR="007F3917" w:rsidRPr="007F3917">
        <w:rPr>
          <w:rFonts w:asciiTheme="minorHAnsi" w:hAnsiTheme="minorHAnsi"/>
          <w:b/>
          <w:sz w:val="24"/>
          <w:szCs w:val="24"/>
        </w:rPr>
        <w:t>n</w:t>
      </w:r>
      <w:r w:rsidRPr="007F3917">
        <w:rPr>
          <w:rFonts w:asciiTheme="minorHAnsi" w:hAnsiTheme="minorHAnsi"/>
          <w:b/>
          <w:sz w:val="24"/>
          <w:szCs w:val="24"/>
        </w:rPr>
        <w:t xml:space="preserve">am </w:t>
      </w:r>
      <w:proofErr w:type="spellStart"/>
      <w:r w:rsidRPr="007F3917">
        <w:rPr>
          <w:rFonts w:asciiTheme="minorHAnsi" w:hAnsiTheme="minorHAnsi"/>
          <w:b/>
          <w:sz w:val="24"/>
          <w:szCs w:val="24"/>
        </w:rPr>
        <w:t>Yellowfin</w:t>
      </w:r>
      <w:proofErr w:type="spellEnd"/>
      <w:r w:rsidRPr="007F3917">
        <w:rPr>
          <w:rFonts w:asciiTheme="minorHAnsi" w:hAnsiTheme="minorHAnsi"/>
          <w:b/>
          <w:sz w:val="24"/>
          <w:szCs w:val="24"/>
        </w:rPr>
        <w:t xml:space="preserve"> Tuna Fisheries Improvement Project (FIP)</w:t>
      </w:r>
    </w:p>
    <w:p w:rsidR="007F3917" w:rsidRDefault="007F3917" w:rsidP="00DC57DA">
      <w:pPr>
        <w:spacing w:line="256" w:lineRule="auto"/>
        <w:rPr>
          <w:rFonts w:asciiTheme="minorHAnsi" w:hAnsiTheme="minorHAnsi"/>
          <w:sz w:val="21"/>
          <w:szCs w:val="21"/>
        </w:rPr>
      </w:pPr>
    </w:p>
    <w:p w:rsidR="00DC57DA" w:rsidRDefault="00056609" w:rsidP="00DC57DA">
      <w:pPr>
        <w:spacing w:line="256" w:lineRule="auto"/>
        <w:rPr>
          <w:rFonts w:asciiTheme="minorHAnsi" w:hAnsiTheme="minorHAnsi"/>
          <w:sz w:val="21"/>
          <w:szCs w:val="21"/>
        </w:rPr>
      </w:pPr>
      <w:r>
        <w:rPr>
          <w:rFonts w:asciiTheme="minorHAnsi" w:hAnsiTheme="minorHAnsi"/>
          <w:sz w:val="21"/>
          <w:szCs w:val="21"/>
        </w:rPr>
        <w:t>Location</w:t>
      </w:r>
      <w:r w:rsidR="00086C3E">
        <w:rPr>
          <w:rFonts w:asciiTheme="minorHAnsi" w:hAnsiTheme="minorHAnsi"/>
          <w:sz w:val="21"/>
          <w:szCs w:val="21"/>
        </w:rPr>
        <w:t>:</w:t>
      </w:r>
      <w:r>
        <w:rPr>
          <w:rFonts w:asciiTheme="minorHAnsi" w:hAnsiTheme="minorHAnsi"/>
          <w:sz w:val="21"/>
          <w:szCs w:val="21"/>
        </w:rPr>
        <w:tab/>
      </w:r>
      <w:r>
        <w:rPr>
          <w:rFonts w:asciiTheme="minorHAnsi" w:hAnsiTheme="minorHAnsi"/>
          <w:sz w:val="21"/>
          <w:szCs w:val="21"/>
        </w:rPr>
        <w:tab/>
        <w:t>Vietnam (</w:t>
      </w:r>
      <w:proofErr w:type="spellStart"/>
      <w:r>
        <w:rPr>
          <w:rFonts w:asciiTheme="minorHAnsi" w:hAnsiTheme="minorHAnsi"/>
          <w:sz w:val="21"/>
          <w:szCs w:val="21"/>
        </w:rPr>
        <w:t>Binh</w:t>
      </w:r>
      <w:proofErr w:type="spellEnd"/>
      <w:r>
        <w:rPr>
          <w:rFonts w:asciiTheme="minorHAnsi" w:hAnsiTheme="minorHAnsi"/>
          <w:sz w:val="21"/>
          <w:szCs w:val="21"/>
        </w:rPr>
        <w:t xml:space="preserve"> </w:t>
      </w:r>
      <w:proofErr w:type="spellStart"/>
      <w:r>
        <w:rPr>
          <w:rFonts w:asciiTheme="minorHAnsi" w:hAnsiTheme="minorHAnsi"/>
          <w:sz w:val="21"/>
          <w:szCs w:val="21"/>
        </w:rPr>
        <w:t>Dinh</w:t>
      </w:r>
      <w:proofErr w:type="spellEnd"/>
      <w:r>
        <w:rPr>
          <w:rFonts w:asciiTheme="minorHAnsi" w:hAnsiTheme="minorHAnsi"/>
          <w:sz w:val="21"/>
          <w:szCs w:val="21"/>
        </w:rPr>
        <w:t xml:space="preserve">, </w:t>
      </w:r>
      <w:proofErr w:type="spellStart"/>
      <w:r>
        <w:rPr>
          <w:rFonts w:asciiTheme="minorHAnsi" w:hAnsiTheme="minorHAnsi"/>
          <w:sz w:val="21"/>
          <w:szCs w:val="21"/>
        </w:rPr>
        <w:t>Phu</w:t>
      </w:r>
      <w:proofErr w:type="spellEnd"/>
      <w:r>
        <w:rPr>
          <w:rFonts w:asciiTheme="minorHAnsi" w:hAnsiTheme="minorHAnsi"/>
          <w:sz w:val="21"/>
          <w:szCs w:val="21"/>
        </w:rPr>
        <w:t xml:space="preserve"> Yen and </w:t>
      </w:r>
      <w:proofErr w:type="spellStart"/>
      <w:r>
        <w:rPr>
          <w:rFonts w:asciiTheme="minorHAnsi" w:hAnsiTheme="minorHAnsi"/>
          <w:sz w:val="21"/>
          <w:szCs w:val="21"/>
        </w:rPr>
        <w:t>Khanh</w:t>
      </w:r>
      <w:proofErr w:type="spellEnd"/>
      <w:r>
        <w:rPr>
          <w:rFonts w:asciiTheme="minorHAnsi" w:hAnsiTheme="minorHAnsi"/>
          <w:sz w:val="21"/>
          <w:szCs w:val="21"/>
        </w:rPr>
        <w:t xml:space="preserve"> </w:t>
      </w:r>
      <w:proofErr w:type="spellStart"/>
      <w:r>
        <w:rPr>
          <w:rFonts w:asciiTheme="minorHAnsi" w:hAnsiTheme="minorHAnsi"/>
          <w:sz w:val="21"/>
          <w:szCs w:val="21"/>
        </w:rPr>
        <w:t>Hoa</w:t>
      </w:r>
      <w:proofErr w:type="spellEnd"/>
      <w:r>
        <w:rPr>
          <w:rFonts w:asciiTheme="minorHAnsi" w:hAnsiTheme="minorHAnsi"/>
          <w:sz w:val="21"/>
          <w:szCs w:val="21"/>
        </w:rPr>
        <w:t xml:space="preserve"> provinces)</w:t>
      </w:r>
    </w:p>
    <w:p w:rsidR="00DC57DA" w:rsidRDefault="00B12EE0" w:rsidP="00DC57DA">
      <w:pPr>
        <w:spacing w:line="256" w:lineRule="auto"/>
        <w:rPr>
          <w:rFonts w:asciiTheme="minorHAnsi" w:hAnsiTheme="minorHAnsi"/>
          <w:sz w:val="21"/>
          <w:szCs w:val="21"/>
        </w:rPr>
      </w:pPr>
      <w:r>
        <w:rPr>
          <w:rFonts w:asciiTheme="minorHAnsi" w:hAnsiTheme="minorHAnsi"/>
          <w:sz w:val="21"/>
          <w:szCs w:val="21"/>
        </w:rPr>
        <w:t>Species</w:t>
      </w:r>
      <w:r w:rsidR="00086C3E">
        <w:rPr>
          <w:rFonts w:asciiTheme="minorHAnsi" w:hAnsiTheme="minorHAnsi"/>
          <w:sz w:val="21"/>
          <w:szCs w:val="21"/>
        </w:rPr>
        <w:t>:</w:t>
      </w:r>
      <w:r>
        <w:rPr>
          <w:rFonts w:asciiTheme="minorHAnsi" w:hAnsiTheme="minorHAnsi"/>
          <w:sz w:val="21"/>
          <w:szCs w:val="21"/>
        </w:rPr>
        <w:tab/>
        <w:t xml:space="preserve">                              </w:t>
      </w:r>
      <w:proofErr w:type="spellStart"/>
      <w:r w:rsidR="00056609">
        <w:rPr>
          <w:rFonts w:asciiTheme="minorHAnsi" w:hAnsiTheme="minorHAnsi"/>
          <w:sz w:val="21"/>
          <w:szCs w:val="21"/>
        </w:rPr>
        <w:t>Yellowfin</w:t>
      </w:r>
      <w:proofErr w:type="spellEnd"/>
      <w:r w:rsidR="00056609">
        <w:rPr>
          <w:rFonts w:asciiTheme="minorHAnsi" w:hAnsiTheme="minorHAnsi"/>
          <w:sz w:val="21"/>
          <w:szCs w:val="21"/>
        </w:rPr>
        <w:t xml:space="preserve"> tuna</w:t>
      </w:r>
    </w:p>
    <w:p w:rsidR="007F3917" w:rsidRDefault="007F3917" w:rsidP="00DC57DA">
      <w:pPr>
        <w:spacing w:line="256" w:lineRule="auto"/>
        <w:rPr>
          <w:rFonts w:asciiTheme="minorHAnsi" w:hAnsiTheme="minorHAnsi"/>
          <w:sz w:val="21"/>
          <w:szCs w:val="21"/>
        </w:rPr>
      </w:pPr>
      <w:r w:rsidRPr="007F3917">
        <w:rPr>
          <w:rFonts w:asciiTheme="minorHAnsi" w:hAnsiTheme="minorHAnsi"/>
          <w:sz w:val="21"/>
          <w:szCs w:val="21"/>
        </w:rPr>
        <w:t xml:space="preserve">Geographical Area:           South China Sea, Western and Central Pacific Fisheries Ocean   </w:t>
      </w:r>
    </w:p>
    <w:p w:rsidR="007F3917" w:rsidRDefault="00056609" w:rsidP="00DC57DA">
      <w:pPr>
        <w:spacing w:line="256" w:lineRule="auto"/>
        <w:rPr>
          <w:rFonts w:asciiTheme="minorHAnsi" w:hAnsiTheme="minorHAnsi"/>
          <w:sz w:val="21"/>
          <w:szCs w:val="21"/>
        </w:rPr>
      </w:pPr>
      <w:r>
        <w:rPr>
          <w:rFonts w:asciiTheme="minorHAnsi" w:hAnsiTheme="minorHAnsi"/>
          <w:sz w:val="21"/>
          <w:szCs w:val="21"/>
        </w:rPr>
        <w:t xml:space="preserve">Gear type:                           </w:t>
      </w:r>
      <w:proofErr w:type="spellStart"/>
      <w:r>
        <w:rPr>
          <w:rFonts w:asciiTheme="minorHAnsi" w:hAnsiTheme="minorHAnsi"/>
          <w:sz w:val="21"/>
          <w:szCs w:val="21"/>
        </w:rPr>
        <w:t>Longline</w:t>
      </w:r>
      <w:proofErr w:type="spellEnd"/>
      <w:r>
        <w:rPr>
          <w:rFonts w:asciiTheme="minorHAnsi" w:hAnsiTheme="minorHAnsi"/>
          <w:sz w:val="21"/>
          <w:szCs w:val="21"/>
        </w:rPr>
        <w:t xml:space="preserve"> and Handline</w:t>
      </w:r>
    </w:p>
    <w:p w:rsidR="00E634B1" w:rsidRDefault="002E11EB" w:rsidP="00DC57DA">
      <w:pPr>
        <w:spacing w:line="256" w:lineRule="auto"/>
        <w:rPr>
          <w:rFonts w:asciiTheme="minorHAnsi" w:hAnsiTheme="minorHAnsi"/>
          <w:sz w:val="21"/>
          <w:szCs w:val="21"/>
        </w:rPr>
      </w:pPr>
      <w:r>
        <w:rPr>
          <w:rFonts w:asciiTheme="minorHAnsi" w:hAnsiTheme="minorHAnsi"/>
          <w:sz w:val="21"/>
          <w:szCs w:val="21"/>
        </w:rPr>
        <w:t xml:space="preserve">Key </w:t>
      </w:r>
      <w:r w:rsidR="00E634B1">
        <w:rPr>
          <w:rFonts w:asciiTheme="minorHAnsi" w:hAnsiTheme="minorHAnsi"/>
          <w:sz w:val="21"/>
          <w:szCs w:val="21"/>
        </w:rPr>
        <w:t>Marke</w:t>
      </w:r>
      <w:r>
        <w:rPr>
          <w:rFonts w:asciiTheme="minorHAnsi" w:hAnsiTheme="minorHAnsi"/>
          <w:sz w:val="21"/>
          <w:szCs w:val="21"/>
        </w:rPr>
        <w:t xml:space="preserve">ts:                      EU, Japan, </w:t>
      </w:r>
      <w:r w:rsidR="00E634B1">
        <w:rPr>
          <w:rFonts w:asciiTheme="minorHAnsi" w:hAnsiTheme="minorHAnsi"/>
          <w:sz w:val="21"/>
          <w:szCs w:val="21"/>
        </w:rPr>
        <w:t>US</w:t>
      </w:r>
      <w:r>
        <w:rPr>
          <w:rFonts w:asciiTheme="minorHAnsi" w:hAnsiTheme="minorHAnsi"/>
          <w:sz w:val="21"/>
          <w:szCs w:val="21"/>
        </w:rPr>
        <w:t>, Canada</w:t>
      </w:r>
      <w:r w:rsidR="00E634B1">
        <w:rPr>
          <w:rFonts w:asciiTheme="minorHAnsi" w:hAnsiTheme="minorHAnsi"/>
          <w:sz w:val="21"/>
          <w:szCs w:val="21"/>
        </w:rPr>
        <w:t xml:space="preserve">, Australia  </w:t>
      </w:r>
    </w:p>
    <w:p w:rsidR="002E11EB" w:rsidRDefault="00255FCE" w:rsidP="00255FCE">
      <w:pPr>
        <w:spacing w:line="256" w:lineRule="auto"/>
        <w:rPr>
          <w:rFonts w:asciiTheme="minorHAnsi" w:hAnsiTheme="minorHAnsi"/>
          <w:sz w:val="21"/>
          <w:szCs w:val="21"/>
        </w:rPr>
      </w:pPr>
      <w:r>
        <w:rPr>
          <w:rFonts w:asciiTheme="minorHAnsi" w:hAnsiTheme="minorHAnsi"/>
          <w:sz w:val="21"/>
          <w:szCs w:val="21"/>
        </w:rPr>
        <w:t>Launch of the FIP</w:t>
      </w:r>
      <w:r w:rsidR="00086C3E">
        <w:rPr>
          <w:rFonts w:asciiTheme="minorHAnsi" w:hAnsiTheme="minorHAnsi"/>
          <w:sz w:val="21"/>
          <w:szCs w:val="21"/>
        </w:rPr>
        <w:t>:</w:t>
      </w:r>
      <w:r>
        <w:rPr>
          <w:rFonts w:asciiTheme="minorHAnsi" w:hAnsiTheme="minorHAnsi"/>
          <w:sz w:val="21"/>
          <w:szCs w:val="21"/>
        </w:rPr>
        <w:t xml:space="preserve"> </w:t>
      </w:r>
      <w:r w:rsidR="00056609">
        <w:rPr>
          <w:rFonts w:asciiTheme="minorHAnsi" w:hAnsiTheme="minorHAnsi"/>
          <w:sz w:val="21"/>
          <w:szCs w:val="21"/>
        </w:rPr>
        <w:tab/>
      </w:r>
      <w:r>
        <w:rPr>
          <w:rFonts w:asciiTheme="minorHAnsi" w:hAnsiTheme="minorHAnsi"/>
          <w:sz w:val="21"/>
          <w:szCs w:val="21"/>
        </w:rPr>
        <w:t>April 2014</w:t>
      </w:r>
    </w:p>
    <w:p w:rsidR="00DC57DA" w:rsidRDefault="002E11EB" w:rsidP="002E11EB">
      <w:pPr>
        <w:spacing w:line="256" w:lineRule="auto"/>
        <w:ind w:left="2145" w:hanging="2145"/>
        <w:rPr>
          <w:rFonts w:asciiTheme="minorHAnsi" w:hAnsiTheme="minorHAnsi"/>
          <w:sz w:val="21"/>
          <w:szCs w:val="21"/>
        </w:rPr>
      </w:pPr>
      <w:r w:rsidRPr="002E11EB">
        <w:rPr>
          <w:rFonts w:asciiTheme="minorHAnsi" w:hAnsiTheme="minorHAnsi"/>
          <w:sz w:val="21"/>
          <w:szCs w:val="21"/>
        </w:rPr>
        <w:t>Key Elements</w:t>
      </w:r>
      <w:r w:rsidRPr="002E11EB">
        <w:rPr>
          <w:rFonts w:asciiTheme="minorHAnsi" w:hAnsiTheme="minorHAnsi"/>
          <w:sz w:val="21"/>
          <w:szCs w:val="21"/>
        </w:rPr>
        <w:tab/>
        <w:t>Full MSC Pre-assessment, Fisheries in Transit</w:t>
      </w:r>
      <w:r>
        <w:rPr>
          <w:rFonts w:asciiTheme="minorHAnsi" w:hAnsiTheme="minorHAnsi"/>
          <w:sz w:val="21"/>
          <w:szCs w:val="21"/>
        </w:rPr>
        <w:t xml:space="preserve">ion guidelines compliant, Multi- </w:t>
      </w:r>
      <w:r w:rsidRPr="002E11EB">
        <w:rPr>
          <w:rFonts w:asciiTheme="minorHAnsi" w:hAnsiTheme="minorHAnsi"/>
          <w:sz w:val="21"/>
          <w:szCs w:val="21"/>
        </w:rPr>
        <w:t>stakeholder FIP, Industry funded, traceability</w:t>
      </w:r>
      <w:r w:rsidR="00056609">
        <w:rPr>
          <w:rFonts w:asciiTheme="minorHAnsi" w:hAnsiTheme="minorHAnsi"/>
          <w:sz w:val="21"/>
          <w:szCs w:val="21"/>
        </w:rPr>
        <w:tab/>
      </w:r>
    </w:p>
    <w:p w:rsidR="00DC57DA" w:rsidRDefault="00DC57DA" w:rsidP="00DC57DA"/>
    <w:p w:rsidR="00DC57DA" w:rsidRPr="00D03628" w:rsidRDefault="00DC57DA" w:rsidP="00DC57DA">
      <w:pPr>
        <w:rPr>
          <w:b/>
        </w:rPr>
      </w:pPr>
      <w:r w:rsidRPr="00D03628">
        <w:rPr>
          <w:b/>
        </w:rPr>
        <w:t>Background</w:t>
      </w:r>
    </w:p>
    <w:p w:rsidR="007F0F01" w:rsidRDefault="007F0F01" w:rsidP="00056609"/>
    <w:p w:rsidR="00056609" w:rsidRDefault="00056609" w:rsidP="00056609">
      <w:r>
        <w:t xml:space="preserve">The Vietnam </w:t>
      </w:r>
      <w:proofErr w:type="spellStart"/>
      <w:r>
        <w:t>yellowfin</w:t>
      </w:r>
      <w:proofErr w:type="spellEnd"/>
      <w:r>
        <w:t xml:space="preserve"> tuna Fisheries Improvement Project (FIP) was launched in April 2014 and applied to handline and </w:t>
      </w:r>
      <w:proofErr w:type="spellStart"/>
      <w:r>
        <w:t>longline</w:t>
      </w:r>
      <w:proofErr w:type="spellEnd"/>
      <w:r>
        <w:t xml:space="preserve"> harvested </w:t>
      </w:r>
      <w:proofErr w:type="spellStart"/>
      <w:r>
        <w:t>yellowfin</w:t>
      </w:r>
      <w:proofErr w:type="spellEnd"/>
      <w:r>
        <w:t xml:space="preserve"> tuna in Vietn</w:t>
      </w:r>
      <w:r w:rsidR="00BB1152">
        <w:t xml:space="preserve">am – a fishery </w:t>
      </w:r>
      <w:r w:rsidR="00086C3E">
        <w:t xml:space="preserve">of approximately 2000 vessels </w:t>
      </w:r>
      <w:r w:rsidR="00BB1152">
        <w:t>with estimated 14</w:t>
      </w:r>
      <w:r>
        <w:t>,000 metric tons of annual landings and to</w:t>
      </w:r>
      <w:r w:rsidR="002E11EB">
        <w:t xml:space="preserve">tal export value of nearly 370 </w:t>
      </w:r>
      <w:r>
        <w:t>million USD.</w:t>
      </w:r>
    </w:p>
    <w:p w:rsidR="007F0F01" w:rsidRDefault="007F0F01" w:rsidP="00056609"/>
    <w:p w:rsidR="00056609" w:rsidRDefault="00056609" w:rsidP="00056609">
      <w:r>
        <w:t xml:space="preserve">The FIP is rooted in earlier projects </w:t>
      </w:r>
      <w:r w:rsidR="002E11EB">
        <w:t xml:space="preserve">by WWF Vietnam </w:t>
      </w:r>
      <w:r>
        <w:t xml:space="preserve">focused on </w:t>
      </w:r>
      <w:proofErr w:type="spellStart"/>
      <w:r>
        <w:t>bycatch</w:t>
      </w:r>
      <w:proofErr w:type="spellEnd"/>
      <w:r>
        <w:t xml:space="preserve"> best practices and capaci</w:t>
      </w:r>
      <w:r w:rsidR="00936DDC">
        <w:t>ty-building for other tuna management requirements such as research &amp; monitoring and engagement with regional management bodies</w:t>
      </w:r>
      <w:r w:rsidR="00936DDC">
        <w:rPr>
          <w:rStyle w:val="FootnoteReference"/>
        </w:rPr>
        <w:footnoteReference w:id="1"/>
      </w:r>
      <w:r>
        <w:t xml:space="preserve">.  These interventions </w:t>
      </w:r>
      <w:r w:rsidR="00936DDC">
        <w:t xml:space="preserve">helped pave </w:t>
      </w:r>
      <w:r>
        <w:t xml:space="preserve">the way for increased awareness and capacity among government and overall heightened support among all stakeholders for a comprehensive push towards improved management and ultimately MSC certification.   </w:t>
      </w:r>
    </w:p>
    <w:p w:rsidR="00056609" w:rsidRDefault="00056609" w:rsidP="00056609"/>
    <w:p w:rsidR="00DC57DA" w:rsidRDefault="00056609" w:rsidP="002E11EB">
      <w:r>
        <w:t xml:space="preserve">Preliminary FIP scoping and an MSC pre-assessment were completed in Q4 2013.  After a stakeholder workshop and </w:t>
      </w:r>
      <w:proofErr w:type="spellStart"/>
      <w:r>
        <w:t>workplan</w:t>
      </w:r>
      <w:proofErr w:type="spellEnd"/>
      <w:r>
        <w:t xml:space="preserve"> development phase, a FIP Action Plan was completed and formally endorsed in January 2014.  The Action Plan identified WWF and the national tuna industry group Vina Tuna as co-clients of the FIP.   The FIP was formally launched in April 2014, having entered the</w:t>
      </w:r>
      <w:r w:rsidR="007F0F01">
        <w:t xml:space="preserve"> Implementation stage</w:t>
      </w:r>
      <w:r>
        <w:t>, with activities commenced and slated to be tracked and audited annually through to 2018.</w:t>
      </w:r>
      <w:r w:rsidR="002E11EB">
        <w:t xml:space="preserve">  </w:t>
      </w:r>
    </w:p>
    <w:p w:rsidR="002E11EB" w:rsidRDefault="002E11EB" w:rsidP="00DC57DA">
      <w:pPr>
        <w:jc w:val="both"/>
        <w:rPr>
          <w:b/>
        </w:rPr>
      </w:pPr>
    </w:p>
    <w:p w:rsidR="002E11EB" w:rsidRPr="00BB1152" w:rsidRDefault="002E11EB" w:rsidP="00DC57DA">
      <w:pPr>
        <w:jc w:val="both"/>
        <w:rPr>
          <w:b/>
        </w:rPr>
      </w:pPr>
    </w:p>
    <w:p w:rsidR="00BB1152" w:rsidRPr="002E11EB" w:rsidRDefault="002E11EB" w:rsidP="002E11EB">
      <w:pPr>
        <w:jc w:val="both"/>
        <w:rPr>
          <w:lang w:val="en-US"/>
        </w:rPr>
      </w:pPr>
      <w:r w:rsidRPr="002E11EB">
        <w:rPr>
          <w:bdr w:val="single" w:sz="6" w:space="0" w:color="auto"/>
          <w:lang w:val="en-US"/>
        </w:rPr>
        <w:object w:dxaOrig="5678" w:dyaOrig="4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77pt" o:ole="">
            <v:imagedata r:id="rId8" o:title="" croptop="12241f"/>
          </v:shape>
          <o:OLEObject Type="Embed" ProgID="PowerPoint.Slide.12" ShapeID="_x0000_i1025" DrawAspect="Content" ObjectID="_1473020353" r:id="rId9"/>
        </w:object>
      </w:r>
    </w:p>
    <w:p w:rsidR="005B629C" w:rsidRPr="005B629C" w:rsidRDefault="005B629C" w:rsidP="005B629C">
      <w:pPr>
        <w:jc w:val="both"/>
        <w:rPr>
          <w:b/>
          <w:sz w:val="18"/>
          <w:szCs w:val="18"/>
        </w:rPr>
      </w:pPr>
      <w:r w:rsidRPr="005B629C">
        <w:rPr>
          <w:b/>
          <w:sz w:val="18"/>
          <w:szCs w:val="18"/>
        </w:rPr>
        <w:t xml:space="preserve">Figure 1 - </w:t>
      </w:r>
      <w:r w:rsidRPr="005B629C">
        <w:rPr>
          <w:b/>
          <w:sz w:val="18"/>
          <w:szCs w:val="18"/>
        </w:rPr>
        <w:t xml:space="preserve">MSC Principles and Performance Indicator Scoring for the Vietnam </w:t>
      </w:r>
      <w:proofErr w:type="spellStart"/>
      <w:r w:rsidRPr="005B629C">
        <w:rPr>
          <w:b/>
          <w:sz w:val="18"/>
          <w:szCs w:val="18"/>
        </w:rPr>
        <w:t>Yellowfin</w:t>
      </w:r>
      <w:proofErr w:type="spellEnd"/>
      <w:r w:rsidRPr="005B629C">
        <w:rPr>
          <w:b/>
          <w:sz w:val="18"/>
          <w:szCs w:val="18"/>
        </w:rPr>
        <w:t xml:space="preserve"> Fishery</w:t>
      </w:r>
    </w:p>
    <w:p w:rsidR="00BB1152" w:rsidRDefault="00BB1152" w:rsidP="00DC57DA">
      <w:pPr>
        <w:spacing w:after="160" w:line="256" w:lineRule="auto"/>
        <w:rPr>
          <w:rFonts w:asciiTheme="minorHAnsi" w:hAnsiTheme="minorHAnsi"/>
          <w:b/>
          <w:sz w:val="21"/>
          <w:szCs w:val="21"/>
        </w:rPr>
      </w:pPr>
    </w:p>
    <w:p w:rsidR="00DC57DA" w:rsidRPr="00D03628" w:rsidRDefault="00F27666" w:rsidP="00F27666">
      <w:pPr>
        <w:spacing w:after="160" w:line="256" w:lineRule="auto"/>
        <w:rPr>
          <w:rFonts w:asciiTheme="minorHAnsi" w:hAnsiTheme="minorHAnsi"/>
          <w:b/>
          <w:sz w:val="21"/>
          <w:szCs w:val="21"/>
        </w:rPr>
      </w:pPr>
      <w:r>
        <w:rPr>
          <w:rFonts w:asciiTheme="minorHAnsi" w:hAnsiTheme="minorHAnsi"/>
          <w:b/>
          <w:noProof/>
          <w:sz w:val="21"/>
          <w:szCs w:val="21"/>
          <w:lang w:val="en-US" w:eastAsia="en-US"/>
        </w:rPr>
        <w:lastRenderedPageBreak/>
        <w:drawing>
          <wp:anchor distT="0" distB="0" distL="114300" distR="114300" simplePos="0" relativeHeight="251671552" behindDoc="1" locked="0" layoutInCell="1" allowOverlap="1" wp14:anchorId="6982FF8B" wp14:editId="61926843">
            <wp:simplePos x="0" y="0"/>
            <wp:positionH relativeFrom="margin">
              <wp:posOffset>-114300</wp:posOffset>
            </wp:positionH>
            <wp:positionV relativeFrom="paragraph">
              <wp:posOffset>19050</wp:posOffset>
            </wp:positionV>
            <wp:extent cx="2714625" cy="5248275"/>
            <wp:effectExtent l="19050" t="19050" r="28575" b="28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 Vietnam_location_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4625" cy="5248275"/>
                    </a:xfrm>
                    <a:prstGeom prst="rect">
                      <a:avLst/>
                    </a:prstGeom>
                    <a:ln w="15875">
                      <a:solidFill>
                        <a:schemeClr val="tx1"/>
                      </a:solidFill>
                    </a:ln>
                  </pic:spPr>
                </pic:pic>
              </a:graphicData>
            </a:graphic>
            <wp14:sizeRelH relativeFrom="page">
              <wp14:pctWidth>0</wp14:pctWidth>
            </wp14:sizeRelH>
            <wp14:sizeRelV relativeFrom="page">
              <wp14:pctHeight>0</wp14:pctHeight>
            </wp14:sizeRelV>
          </wp:anchor>
        </w:drawing>
      </w:r>
      <w:r w:rsidR="00B12EE0">
        <w:rPr>
          <w:rFonts w:asciiTheme="minorHAnsi" w:hAnsiTheme="minorHAnsi"/>
          <w:b/>
          <w:sz w:val="21"/>
          <w:szCs w:val="21"/>
        </w:rPr>
        <w:t xml:space="preserve">                                                                                          </w:t>
      </w:r>
      <w:r w:rsidR="00DC57DA" w:rsidRPr="00D03628">
        <w:rPr>
          <w:rFonts w:asciiTheme="minorHAnsi" w:hAnsiTheme="minorHAnsi"/>
          <w:b/>
          <w:sz w:val="21"/>
          <w:szCs w:val="21"/>
        </w:rPr>
        <w:t>Current status</w:t>
      </w:r>
    </w:p>
    <w:p w:rsidR="00DC57DA" w:rsidRPr="005021E8" w:rsidRDefault="00056609" w:rsidP="00F27666">
      <w:pPr>
        <w:ind w:left="4320"/>
        <w:jc w:val="both"/>
        <w:rPr>
          <w:rFonts w:asciiTheme="minorHAnsi" w:hAnsiTheme="minorHAnsi" w:cs="Calibri"/>
          <w:color w:val="000000"/>
          <w:lang w:eastAsia="en-US"/>
        </w:rPr>
      </w:pPr>
      <w:r>
        <w:t>Implementation of</w:t>
      </w:r>
      <w:r w:rsidR="00DC57DA" w:rsidRPr="00372ABB">
        <w:t xml:space="preserve"> </w:t>
      </w:r>
      <w:r>
        <w:t xml:space="preserve">the FIP Action Plan commenced in April 2014, and </w:t>
      </w:r>
      <w:r w:rsidR="005310E7">
        <w:t xml:space="preserve">with Terms of Reference developed for government partners (i.e. MARD, DECAFIREP and provincial sub-Departments) and Vina Tuna, as well as for the Monitoring and Evaluation of the FIP via an independent and CAB-affiliated assessor. </w:t>
      </w:r>
      <w:r w:rsidR="00DC57DA" w:rsidRPr="005021E8">
        <w:rPr>
          <w:rFonts w:asciiTheme="minorHAnsi" w:hAnsiTheme="minorHAnsi" w:cs="Calibri"/>
          <w:color w:val="000000"/>
          <w:lang w:eastAsia="en-US"/>
        </w:rPr>
        <w:t xml:space="preserve"> </w:t>
      </w:r>
    </w:p>
    <w:p w:rsidR="00DC57DA" w:rsidRPr="005310E7" w:rsidRDefault="00DC57DA" w:rsidP="00F27666">
      <w:pPr>
        <w:autoSpaceDE w:val="0"/>
        <w:autoSpaceDN w:val="0"/>
        <w:adjustRightInd w:val="0"/>
        <w:ind w:left="4320"/>
        <w:jc w:val="both"/>
        <w:rPr>
          <w:rFonts w:asciiTheme="minorHAnsi" w:hAnsiTheme="minorHAnsi" w:cs="Calibri"/>
          <w:b/>
          <w:i/>
          <w:color w:val="000000"/>
          <w:lang w:eastAsia="en-US"/>
        </w:rPr>
      </w:pPr>
    </w:p>
    <w:p w:rsidR="00F27666" w:rsidRDefault="005310E7" w:rsidP="00F27666">
      <w:pPr>
        <w:autoSpaceDE w:val="0"/>
        <w:autoSpaceDN w:val="0"/>
        <w:adjustRightInd w:val="0"/>
        <w:ind w:left="4320"/>
        <w:jc w:val="both"/>
        <w:rPr>
          <w:rFonts w:asciiTheme="minorHAnsi" w:hAnsiTheme="minorHAnsi" w:cs="Calibri"/>
          <w:color w:val="000000"/>
          <w:lang w:eastAsia="en-US"/>
        </w:rPr>
      </w:pPr>
      <w:r w:rsidRPr="005310E7">
        <w:rPr>
          <w:rFonts w:asciiTheme="minorHAnsi" w:hAnsiTheme="minorHAnsi" w:cs="Calibri"/>
          <w:b/>
          <w:i/>
          <w:color w:val="000000"/>
          <w:lang w:eastAsia="en-US"/>
        </w:rPr>
        <w:t>Industry Partner Agreements</w:t>
      </w:r>
      <w:r w:rsidR="007F0F01">
        <w:rPr>
          <w:rFonts w:asciiTheme="minorHAnsi" w:hAnsiTheme="minorHAnsi" w:cs="Calibri"/>
          <w:b/>
          <w:i/>
          <w:color w:val="000000"/>
          <w:lang w:eastAsia="en-US"/>
        </w:rPr>
        <w:t xml:space="preserve"> - </w:t>
      </w:r>
      <w:r w:rsidR="00936DDC">
        <w:rPr>
          <w:rFonts w:asciiTheme="minorHAnsi" w:hAnsiTheme="minorHAnsi" w:cs="Calibri"/>
          <w:color w:val="000000"/>
          <w:lang w:eastAsia="en-US"/>
        </w:rPr>
        <w:t>N</w:t>
      </w:r>
      <w:r w:rsidRPr="005310E7">
        <w:rPr>
          <w:rFonts w:asciiTheme="minorHAnsi" w:hAnsiTheme="minorHAnsi" w:cs="Calibri"/>
          <w:color w:val="000000"/>
          <w:lang w:eastAsia="en-US"/>
        </w:rPr>
        <w:t xml:space="preserve">ine international suppliers and exporters </w:t>
      </w:r>
      <w:r w:rsidR="00F27666">
        <w:rPr>
          <w:rFonts w:asciiTheme="minorHAnsi" w:hAnsiTheme="minorHAnsi" w:cs="Calibri"/>
          <w:color w:val="000000"/>
          <w:lang w:eastAsia="en-US"/>
        </w:rPr>
        <w:t>from five countries spanning most</w:t>
      </w:r>
      <w:r w:rsidRPr="005310E7">
        <w:rPr>
          <w:rFonts w:asciiTheme="minorHAnsi" w:hAnsiTheme="minorHAnsi" w:cs="Calibri"/>
          <w:color w:val="000000"/>
          <w:lang w:eastAsia="en-US"/>
        </w:rPr>
        <w:t xml:space="preserve"> major markets have entered into FIP Partner Agreements to help ensure the effective implementation of the FIP Action Plan, including identification of on-the-ground activities taken up by industry.  The Partner Agreements further aim to ensure that recognized industry partners are achieving appropriate standards for traceability, corporate communication and marketing in their FIP-related activities.</w:t>
      </w:r>
      <w:r w:rsidR="006A3F52">
        <w:rPr>
          <w:rFonts w:asciiTheme="minorHAnsi" w:hAnsiTheme="minorHAnsi" w:cs="Calibri"/>
          <w:color w:val="000000"/>
          <w:lang w:eastAsia="en-US"/>
        </w:rPr>
        <w:t xml:space="preserve">  </w:t>
      </w:r>
      <w:r w:rsidR="00B12EE0">
        <w:rPr>
          <w:rFonts w:asciiTheme="minorHAnsi" w:hAnsiTheme="minorHAnsi" w:cs="Calibri"/>
          <w:color w:val="000000"/>
          <w:lang w:eastAsia="en-US"/>
        </w:rPr>
        <w:t xml:space="preserve">Through annual fees paid by partners, these Agreements also help finance core FIP activities, and open other funding channels through diverse supply chains.  </w:t>
      </w:r>
      <w:r w:rsidR="006A3F52">
        <w:rPr>
          <w:rFonts w:asciiTheme="minorHAnsi" w:hAnsiTheme="minorHAnsi" w:cs="Calibri"/>
          <w:color w:val="000000"/>
          <w:lang w:eastAsia="en-US"/>
        </w:rPr>
        <w:t xml:space="preserve">Several WWF National Offices are likewise engaged in these corporate arrangements, including WWF-US, WWF Netherlands, WWF Germany and WWF Australia. </w:t>
      </w:r>
    </w:p>
    <w:p w:rsidR="00F27666" w:rsidRDefault="00F27666" w:rsidP="00B12EE0">
      <w:pPr>
        <w:autoSpaceDE w:val="0"/>
        <w:autoSpaceDN w:val="0"/>
        <w:adjustRightInd w:val="0"/>
        <w:jc w:val="both"/>
        <w:rPr>
          <w:rFonts w:asciiTheme="minorHAnsi" w:hAnsiTheme="minorHAnsi" w:cs="Calibri"/>
          <w:color w:val="000000"/>
          <w:lang w:eastAsia="en-US"/>
        </w:rPr>
      </w:pPr>
    </w:p>
    <w:tbl>
      <w:tblPr>
        <w:tblStyle w:val="TableGrid"/>
        <w:tblpPr w:leftFromText="180" w:rightFromText="180" w:vertAnchor="text" w:horzAnchor="page" w:tblpX="3526" w:tblpY="594"/>
        <w:tblW w:w="0" w:type="auto"/>
        <w:tblLook w:val="04A0" w:firstRow="1" w:lastRow="0" w:firstColumn="1" w:lastColumn="0" w:noHBand="0" w:noVBand="1"/>
      </w:tblPr>
      <w:tblGrid>
        <w:gridCol w:w="900"/>
        <w:gridCol w:w="985"/>
      </w:tblGrid>
      <w:tr w:rsidR="00B12EE0" w:rsidRPr="00F61232" w:rsidTr="00B12EE0">
        <w:trPr>
          <w:trHeight w:val="228"/>
        </w:trPr>
        <w:tc>
          <w:tcPr>
            <w:tcW w:w="900" w:type="dxa"/>
            <w:shd w:val="clear" w:color="auto" w:fill="00B0F0"/>
          </w:tcPr>
          <w:p w:rsidR="00B12EE0" w:rsidRPr="00F27666" w:rsidRDefault="00B12EE0" w:rsidP="00B12EE0">
            <w:pPr>
              <w:rPr>
                <w:rFonts w:asciiTheme="minorHAnsi" w:hAnsiTheme="minorHAnsi" w:cstheme="minorBidi"/>
                <w:sz w:val="16"/>
                <w:szCs w:val="16"/>
                <w:lang w:val="en-US" w:eastAsia="en-US"/>
              </w:rPr>
            </w:pPr>
          </w:p>
        </w:tc>
        <w:tc>
          <w:tcPr>
            <w:tcW w:w="985" w:type="dxa"/>
          </w:tcPr>
          <w:p w:rsidR="00B12EE0" w:rsidRPr="00F27666" w:rsidRDefault="00B12EE0" w:rsidP="00B12EE0">
            <w:pPr>
              <w:rPr>
                <w:rFonts w:asciiTheme="minorHAnsi" w:hAnsiTheme="minorHAnsi" w:cstheme="minorBidi"/>
                <w:b/>
                <w:sz w:val="16"/>
                <w:szCs w:val="16"/>
                <w:lang w:val="en-US" w:eastAsia="en-US"/>
              </w:rPr>
            </w:pPr>
            <w:proofErr w:type="spellStart"/>
            <w:r w:rsidRPr="00F27666">
              <w:rPr>
                <w:rFonts w:asciiTheme="minorHAnsi" w:hAnsiTheme="minorHAnsi" w:cstheme="minorBidi"/>
                <w:b/>
                <w:sz w:val="16"/>
                <w:szCs w:val="16"/>
                <w:lang w:val="en-US" w:eastAsia="en-US"/>
              </w:rPr>
              <w:t>Binh</w:t>
            </w:r>
            <w:proofErr w:type="spellEnd"/>
            <w:r w:rsidRPr="00F27666">
              <w:rPr>
                <w:rFonts w:asciiTheme="minorHAnsi" w:hAnsiTheme="minorHAnsi" w:cstheme="minorBidi"/>
                <w:b/>
                <w:sz w:val="16"/>
                <w:szCs w:val="16"/>
                <w:lang w:val="en-US" w:eastAsia="en-US"/>
              </w:rPr>
              <w:t xml:space="preserve"> </w:t>
            </w:r>
            <w:proofErr w:type="spellStart"/>
            <w:r w:rsidRPr="00F27666">
              <w:rPr>
                <w:rFonts w:asciiTheme="minorHAnsi" w:hAnsiTheme="minorHAnsi" w:cstheme="minorBidi"/>
                <w:b/>
                <w:sz w:val="16"/>
                <w:szCs w:val="16"/>
                <w:lang w:val="en-US" w:eastAsia="en-US"/>
              </w:rPr>
              <w:t>Dinh</w:t>
            </w:r>
            <w:proofErr w:type="spellEnd"/>
          </w:p>
        </w:tc>
      </w:tr>
      <w:tr w:rsidR="00B12EE0" w:rsidRPr="00F61232" w:rsidTr="00B12EE0">
        <w:trPr>
          <w:trHeight w:val="219"/>
        </w:trPr>
        <w:tc>
          <w:tcPr>
            <w:tcW w:w="900" w:type="dxa"/>
            <w:shd w:val="clear" w:color="auto" w:fill="EE853E"/>
          </w:tcPr>
          <w:p w:rsidR="00B12EE0" w:rsidRPr="00F27666" w:rsidRDefault="00B12EE0" w:rsidP="00B12EE0">
            <w:pPr>
              <w:rPr>
                <w:rFonts w:asciiTheme="minorHAnsi" w:hAnsiTheme="minorHAnsi" w:cstheme="minorBidi"/>
                <w:sz w:val="16"/>
                <w:szCs w:val="16"/>
                <w:lang w:val="en-US" w:eastAsia="en-US"/>
              </w:rPr>
            </w:pPr>
          </w:p>
        </w:tc>
        <w:tc>
          <w:tcPr>
            <w:tcW w:w="985" w:type="dxa"/>
          </w:tcPr>
          <w:p w:rsidR="00B12EE0" w:rsidRPr="00F27666" w:rsidRDefault="00B12EE0" w:rsidP="00B12EE0">
            <w:pPr>
              <w:rPr>
                <w:rFonts w:asciiTheme="minorHAnsi" w:hAnsiTheme="minorHAnsi" w:cstheme="minorBidi"/>
                <w:b/>
                <w:sz w:val="16"/>
                <w:szCs w:val="16"/>
                <w:lang w:val="en-US" w:eastAsia="en-US"/>
              </w:rPr>
            </w:pPr>
            <w:proofErr w:type="spellStart"/>
            <w:r w:rsidRPr="00F27666">
              <w:rPr>
                <w:rFonts w:asciiTheme="minorHAnsi" w:hAnsiTheme="minorHAnsi" w:cstheme="minorBidi"/>
                <w:b/>
                <w:sz w:val="16"/>
                <w:szCs w:val="16"/>
                <w:lang w:val="en-US" w:eastAsia="en-US"/>
              </w:rPr>
              <w:t>Phu</w:t>
            </w:r>
            <w:proofErr w:type="spellEnd"/>
            <w:r w:rsidRPr="00F27666">
              <w:rPr>
                <w:rFonts w:asciiTheme="minorHAnsi" w:hAnsiTheme="minorHAnsi" w:cstheme="minorBidi"/>
                <w:b/>
                <w:sz w:val="16"/>
                <w:szCs w:val="16"/>
                <w:lang w:val="en-US" w:eastAsia="en-US"/>
              </w:rPr>
              <w:t xml:space="preserve"> Yen</w:t>
            </w:r>
          </w:p>
        </w:tc>
      </w:tr>
      <w:tr w:rsidR="00B12EE0" w:rsidRPr="00F61232" w:rsidTr="00B12EE0">
        <w:trPr>
          <w:trHeight w:val="242"/>
        </w:trPr>
        <w:tc>
          <w:tcPr>
            <w:tcW w:w="900" w:type="dxa"/>
            <w:shd w:val="clear" w:color="auto" w:fill="00C85A"/>
          </w:tcPr>
          <w:p w:rsidR="00B12EE0" w:rsidRPr="00F27666" w:rsidRDefault="00B12EE0" w:rsidP="00B12EE0">
            <w:pPr>
              <w:rPr>
                <w:rFonts w:asciiTheme="minorHAnsi" w:hAnsiTheme="minorHAnsi" w:cstheme="minorBidi"/>
                <w:sz w:val="16"/>
                <w:szCs w:val="16"/>
                <w:lang w:val="en-US" w:eastAsia="en-US"/>
              </w:rPr>
            </w:pPr>
          </w:p>
        </w:tc>
        <w:tc>
          <w:tcPr>
            <w:tcW w:w="985" w:type="dxa"/>
          </w:tcPr>
          <w:p w:rsidR="00B12EE0" w:rsidRPr="00F27666" w:rsidRDefault="00B12EE0" w:rsidP="00B12EE0">
            <w:pPr>
              <w:rPr>
                <w:rFonts w:asciiTheme="minorHAnsi" w:hAnsiTheme="minorHAnsi" w:cstheme="minorBidi"/>
                <w:b/>
                <w:sz w:val="16"/>
                <w:szCs w:val="16"/>
                <w:lang w:val="en-US" w:eastAsia="en-US"/>
              </w:rPr>
            </w:pPr>
            <w:proofErr w:type="spellStart"/>
            <w:r w:rsidRPr="00F27666">
              <w:rPr>
                <w:rFonts w:asciiTheme="minorHAnsi" w:hAnsiTheme="minorHAnsi" w:cstheme="minorBidi"/>
                <w:b/>
                <w:sz w:val="16"/>
                <w:szCs w:val="16"/>
                <w:lang w:val="en-US" w:eastAsia="en-US"/>
              </w:rPr>
              <w:t>Khanh</w:t>
            </w:r>
            <w:proofErr w:type="spellEnd"/>
            <w:r w:rsidRPr="00F27666">
              <w:rPr>
                <w:rFonts w:asciiTheme="minorHAnsi" w:hAnsiTheme="minorHAnsi" w:cstheme="minorBidi"/>
                <w:b/>
                <w:sz w:val="16"/>
                <w:szCs w:val="16"/>
                <w:lang w:val="en-US" w:eastAsia="en-US"/>
              </w:rPr>
              <w:t xml:space="preserve"> </w:t>
            </w:r>
            <w:proofErr w:type="spellStart"/>
            <w:r w:rsidRPr="00F27666">
              <w:rPr>
                <w:rFonts w:asciiTheme="minorHAnsi" w:hAnsiTheme="minorHAnsi" w:cstheme="minorBidi"/>
                <w:b/>
                <w:sz w:val="16"/>
                <w:szCs w:val="16"/>
                <w:lang w:val="en-US" w:eastAsia="en-US"/>
              </w:rPr>
              <w:t>Hoa</w:t>
            </w:r>
            <w:proofErr w:type="spellEnd"/>
          </w:p>
        </w:tc>
      </w:tr>
    </w:tbl>
    <w:p w:rsidR="00F27666" w:rsidRDefault="00F27666" w:rsidP="00B12EE0">
      <w:pPr>
        <w:autoSpaceDE w:val="0"/>
        <w:autoSpaceDN w:val="0"/>
        <w:adjustRightInd w:val="0"/>
        <w:ind w:left="4320"/>
        <w:jc w:val="both"/>
        <w:rPr>
          <w:rFonts w:asciiTheme="minorHAnsi" w:hAnsiTheme="minorHAnsi" w:cs="Calibri"/>
          <w:color w:val="000000"/>
          <w:lang w:eastAsia="en-US"/>
        </w:rPr>
      </w:pPr>
      <w:r>
        <w:rPr>
          <w:rFonts w:asciiTheme="minorHAnsi" w:hAnsiTheme="minorHAnsi" w:cs="Calibri"/>
          <w:color w:val="000000"/>
          <w:lang w:eastAsia="en-US"/>
        </w:rPr>
        <w:t>The FIP has also</w:t>
      </w:r>
      <w:r w:rsidRPr="00F27666">
        <w:rPr>
          <w:rFonts w:asciiTheme="minorHAnsi" w:hAnsiTheme="minorHAnsi" w:cs="Calibri"/>
          <w:color w:val="000000"/>
          <w:lang w:eastAsia="en-US"/>
        </w:rPr>
        <w:t xml:space="preserve"> </w:t>
      </w:r>
      <w:r>
        <w:rPr>
          <w:rFonts w:asciiTheme="minorHAnsi" w:hAnsiTheme="minorHAnsi" w:cs="Calibri"/>
          <w:color w:val="000000"/>
          <w:lang w:eastAsia="en-US"/>
        </w:rPr>
        <w:t xml:space="preserve">recently </w:t>
      </w:r>
      <w:r w:rsidRPr="00F27666">
        <w:rPr>
          <w:rFonts w:asciiTheme="minorHAnsi" w:hAnsiTheme="minorHAnsi" w:cs="Calibri"/>
          <w:color w:val="000000"/>
          <w:lang w:eastAsia="en-US"/>
        </w:rPr>
        <w:t xml:space="preserve">attracted interest </w:t>
      </w:r>
      <w:r>
        <w:rPr>
          <w:rFonts w:asciiTheme="minorHAnsi" w:hAnsiTheme="minorHAnsi" w:cs="Calibri"/>
          <w:color w:val="000000"/>
          <w:lang w:eastAsia="en-US"/>
        </w:rPr>
        <w:t xml:space="preserve">from Japanese businesses </w:t>
      </w:r>
      <w:r w:rsidR="00B12EE0">
        <w:rPr>
          <w:rFonts w:asciiTheme="minorHAnsi" w:hAnsiTheme="minorHAnsi" w:cs="Calibri"/>
          <w:color w:val="000000"/>
          <w:lang w:eastAsia="en-US"/>
        </w:rPr>
        <w:t xml:space="preserve">concerning formal links with parallel </w:t>
      </w:r>
      <w:r>
        <w:rPr>
          <w:rFonts w:asciiTheme="minorHAnsi" w:hAnsiTheme="minorHAnsi" w:cs="Calibri"/>
          <w:color w:val="000000"/>
          <w:lang w:eastAsia="en-US"/>
        </w:rPr>
        <w:t>projects on post-harvest quality and vessel energy efficiency.</w:t>
      </w:r>
    </w:p>
    <w:p w:rsidR="00B12EE0" w:rsidRDefault="00B12EE0" w:rsidP="005310E7">
      <w:pPr>
        <w:autoSpaceDE w:val="0"/>
        <w:autoSpaceDN w:val="0"/>
        <w:adjustRightInd w:val="0"/>
        <w:jc w:val="both"/>
        <w:rPr>
          <w:rFonts w:asciiTheme="minorHAnsi" w:hAnsiTheme="minorHAnsi" w:cs="Calibri"/>
          <w:b/>
          <w:color w:val="000000"/>
          <w:sz w:val="18"/>
          <w:szCs w:val="18"/>
          <w:lang w:eastAsia="en-US"/>
        </w:rPr>
      </w:pPr>
    </w:p>
    <w:p w:rsidR="00B12EE0" w:rsidRDefault="00B12EE0" w:rsidP="005310E7">
      <w:pPr>
        <w:autoSpaceDE w:val="0"/>
        <w:autoSpaceDN w:val="0"/>
        <w:adjustRightInd w:val="0"/>
        <w:jc w:val="both"/>
        <w:rPr>
          <w:rFonts w:asciiTheme="minorHAnsi" w:hAnsiTheme="minorHAnsi" w:cs="Calibri"/>
          <w:b/>
          <w:color w:val="000000"/>
          <w:sz w:val="18"/>
          <w:szCs w:val="18"/>
          <w:lang w:eastAsia="en-US"/>
        </w:rPr>
      </w:pPr>
    </w:p>
    <w:p w:rsidR="005B7FEA" w:rsidRPr="005B629C" w:rsidRDefault="005B629C" w:rsidP="005310E7">
      <w:pPr>
        <w:autoSpaceDE w:val="0"/>
        <w:autoSpaceDN w:val="0"/>
        <w:adjustRightInd w:val="0"/>
        <w:jc w:val="both"/>
        <w:rPr>
          <w:rFonts w:asciiTheme="minorHAnsi" w:hAnsiTheme="minorHAnsi" w:cs="Calibri"/>
          <w:b/>
          <w:color w:val="000000"/>
          <w:sz w:val="18"/>
          <w:szCs w:val="18"/>
          <w:lang w:eastAsia="en-US"/>
        </w:rPr>
      </w:pPr>
      <w:r w:rsidRPr="005B629C">
        <w:rPr>
          <w:rFonts w:asciiTheme="minorHAnsi" w:hAnsiTheme="minorHAnsi" w:cs="Calibri"/>
          <w:b/>
          <w:color w:val="000000"/>
          <w:sz w:val="18"/>
          <w:szCs w:val="18"/>
          <w:lang w:eastAsia="en-US"/>
        </w:rPr>
        <w:t xml:space="preserve">Map 1 – Location Map of Vietnam </w:t>
      </w:r>
      <w:proofErr w:type="spellStart"/>
      <w:r w:rsidRPr="005B629C">
        <w:rPr>
          <w:rFonts w:asciiTheme="minorHAnsi" w:hAnsiTheme="minorHAnsi" w:cs="Calibri"/>
          <w:b/>
          <w:color w:val="000000"/>
          <w:sz w:val="18"/>
          <w:szCs w:val="18"/>
          <w:lang w:eastAsia="en-US"/>
        </w:rPr>
        <w:t>yellowfin</w:t>
      </w:r>
      <w:proofErr w:type="spellEnd"/>
      <w:r w:rsidRPr="005B629C">
        <w:rPr>
          <w:rFonts w:asciiTheme="minorHAnsi" w:hAnsiTheme="minorHAnsi" w:cs="Calibri"/>
          <w:b/>
          <w:color w:val="000000"/>
          <w:sz w:val="18"/>
          <w:szCs w:val="18"/>
          <w:lang w:eastAsia="en-US"/>
        </w:rPr>
        <w:t xml:space="preserve"> tuna FIP main provinces</w:t>
      </w:r>
    </w:p>
    <w:p w:rsidR="005B629C" w:rsidRDefault="005B629C" w:rsidP="005310E7">
      <w:pPr>
        <w:autoSpaceDE w:val="0"/>
        <w:autoSpaceDN w:val="0"/>
        <w:adjustRightInd w:val="0"/>
        <w:jc w:val="both"/>
        <w:rPr>
          <w:rFonts w:asciiTheme="minorHAnsi" w:hAnsiTheme="minorHAnsi" w:cs="Calibri"/>
          <w:b/>
          <w:i/>
          <w:color w:val="000000"/>
          <w:lang w:eastAsia="en-US"/>
        </w:rPr>
      </w:pPr>
    </w:p>
    <w:p w:rsidR="005310E7" w:rsidRPr="007F0F01" w:rsidRDefault="005310E7" w:rsidP="005310E7">
      <w:pPr>
        <w:autoSpaceDE w:val="0"/>
        <w:autoSpaceDN w:val="0"/>
        <w:adjustRightInd w:val="0"/>
        <w:jc w:val="both"/>
        <w:rPr>
          <w:rFonts w:asciiTheme="minorHAnsi" w:hAnsiTheme="minorHAnsi" w:cs="Calibri"/>
          <w:b/>
          <w:i/>
          <w:color w:val="000000"/>
          <w:lang w:eastAsia="en-US"/>
        </w:rPr>
      </w:pPr>
      <w:r w:rsidRPr="005310E7">
        <w:rPr>
          <w:rFonts w:asciiTheme="minorHAnsi" w:hAnsiTheme="minorHAnsi" w:cs="Calibri"/>
          <w:b/>
          <w:i/>
          <w:color w:val="000000"/>
          <w:lang w:eastAsia="en-US"/>
        </w:rPr>
        <w:t xml:space="preserve">Traceability </w:t>
      </w:r>
      <w:r w:rsidR="007F0F01">
        <w:rPr>
          <w:rFonts w:asciiTheme="minorHAnsi" w:hAnsiTheme="minorHAnsi" w:cs="Calibri"/>
          <w:b/>
          <w:i/>
          <w:color w:val="000000"/>
          <w:lang w:eastAsia="en-US"/>
        </w:rPr>
        <w:t xml:space="preserve">- </w:t>
      </w:r>
      <w:r w:rsidRPr="005310E7">
        <w:rPr>
          <w:rFonts w:asciiTheme="minorHAnsi" w:hAnsiTheme="minorHAnsi" w:cs="Calibri"/>
          <w:color w:val="000000"/>
          <w:lang w:eastAsia="en-US"/>
        </w:rPr>
        <w:t xml:space="preserve">The FIP is prototyping the application of “Fit for FIP” traceability to ensure that Vietnam </w:t>
      </w:r>
      <w:proofErr w:type="spellStart"/>
      <w:r w:rsidRPr="005310E7">
        <w:rPr>
          <w:rFonts w:asciiTheme="minorHAnsi" w:hAnsiTheme="minorHAnsi" w:cs="Calibri"/>
          <w:color w:val="000000"/>
          <w:lang w:eastAsia="en-US"/>
        </w:rPr>
        <w:t>yellowfin</w:t>
      </w:r>
      <w:proofErr w:type="spellEnd"/>
      <w:r w:rsidRPr="005310E7">
        <w:rPr>
          <w:rFonts w:asciiTheme="minorHAnsi" w:hAnsiTheme="minorHAnsi" w:cs="Calibri"/>
          <w:color w:val="000000"/>
          <w:lang w:eastAsia="en-US"/>
        </w:rPr>
        <w:t xml:space="preserve"> tuna is differentiated in the marketplace.  This requirement is particularly important in </w:t>
      </w:r>
      <w:r w:rsidR="005B7FEA">
        <w:rPr>
          <w:rFonts w:asciiTheme="minorHAnsi" w:hAnsiTheme="minorHAnsi" w:cs="Calibri"/>
          <w:color w:val="000000"/>
          <w:lang w:eastAsia="en-US"/>
        </w:rPr>
        <w:t xml:space="preserve">Vietnam where export volume </w:t>
      </w:r>
      <w:r w:rsidRPr="005310E7">
        <w:rPr>
          <w:rFonts w:asciiTheme="minorHAnsi" w:hAnsiTheme="minorHAnsi" w:cs="Calibri"/>
          <w:color w:val="000000"/>
          <w:lang w:eastAsia="en-US"/>
        </w:rPr>
        <w:t xml:space="preserve">exceeds domestic catch and over half of total exports (i.e. frozen </w:t>
      </w:r>
      <w:proofErr w:type="spellStart"/>
      <w:r w:rsidRPr="005310E7">
        <w:rPr>
          <w:rFonts w:asciiTheme="minorHAnsi" w:hAnsiTheme="minorHAnsi" w:cs="Calibri"/>
          <w:color w:val="000000"/>
          <w:lang w:eastAsia="en-US"/>
        </w:rPr>
        <w:t>yellowfin</w:t>
      </w:r>
      <w:proofErr w:type="spellEnd"/>
      <w:r w:rsidRPr="005310E7">
        <w:rPr>
          <w:rFonts w:asciiTheme="minorHAnsi" w:hAnsiTheme="minorHAnsi" w:cs="Calibri"/>
          <w:color w:val="000000"/>
          <w:lang w:eastAsia="en-US"/>
        </w:rPr>
        <w:t xml:space="preserve"> steak and loins) use foreign raw material which is re-exported.   FIP Partners are required to have a traceability system in place within 1 year of signing their Agreement, and for this system to be audited by an independent 3rd party within 18 months.  These measures will help ensure unqualified products do not dilute the marketplace with inappropriate “FIP” fish.   </w:t>
      </w:r>
    </w:p>
    <w:p w:rsidR="005310E7" w:rsidRDefault="005310E7" w:rsidP="005310E7">
      <w:pPr>
        <w:autoSpaceDE w:val="0"/>
        <w:autoSpaceDN w:val="0"/>
        <w:adjustRightInd w:val="0"/>
        <w:jc w:val="both"/>
        <w:rPr>
          <w:rFonts w:asciiTheme="minorHAnsi" w:hAnsiTheme="minorHAnsi" w:cs="Calibri"/>
          <w:color w:val="000000"/>
          <w:lang w:eastAsia="en-US"/>
        </w:rPr>
      </w:pPr>
    </w:p>
    <w:p w:rsidR="005310E7" w:rsidRDefault="005310E7" w:rsidP="005310E7">
      <w:pPr>
        <w:autoSpaceDE w:val="0"/>
        <w:autoSpaceDN w:val="0"/>
        <w:adjustRightInd w:val="0"/>
        <w:jc w:val="both"/>
        <w:rPr>
          <w:rFonts w:asciiTheme="minorHAnsi" w:hAnsiTheme="minorHAnsi" w:cs="Calibri"/>
          <w:color w:val="000000"/>
          <w:lang w:eastAsia="en-US"/>
        </w:rPr>
      </w:pPr>
      <w:r w:rsidRPr="005310E7">
        <w:rPr>
          <w:rFonts w:asciiTheme="minorHAnsi" w:hAnsiTheme="minorHAnsi" w:cs="Calibri"/>
          <w:color w:val="000000"/>
          <w:lang w:eastAsia="en-US"/>
        </w:rPr>
        <w:t xml:space="preserve">With technical and logistical support from the FIP Coordination Unit led by WWF, FIP Partners will work with their processors as well as downstream buyers to ensure shared understanding and support on traceability and related aspects.  This includes sharing of business data used in verifying the trade flow of FIP products.  </w:t>
      </w:r>
    </w:p>
    <w:p w:rsidR="005310E7" w:rsidRPr="005021E8" w:rsidRDefault="005310E7" w:rsidP="00DC57DA">
      <w:pPr>
        <w:autoSpaceDE w:val="0"/>
        <w:autoSpaceDN w:val="0"/>
        <w:adjustRightInd w:val="0"/>
        <w:jc w:val="both"/>
        <w:rPr>
          <w:rFonts w:asciiTheme="minorHAnsi" w:hAnsiTheme="minorHAnsi" w:cs="Calibri"/>
          <w:color w:val="000000"/>
          <w:lang w:eastAsia="en-US"/>
        </w:rPr>
      </w:pPr>
    </w:p>
    <w:p w:rsidR="005B7FEA" w:rsidRPr="00086C3E" w:rsidRDefault="005310E7" w:rsidP="00E16EFB">
      <w:pPr>
        <w:autoSpaceDE w:val="0"/>
        <w:autoSpaceDN w:val="0"/>
        <w:adjustRightInd w:val="0"/>
        <w:jc w:val="both"/>
        <w:rPr>
          <w:rFonts w:asciiTheme="minorHAnsi" w:hAnsiTheme="minorHAnsi" w:cs="Calibri"/>
          <w:color w:val="000000"/>
          <w:lang w:eastAsia="en-US"/>
        </w:rPr>
      </w:pPr>
      <w:r w:rsidRPr="005310E7">
        <w:rPr>
          <w:rFonts w:asciiTheme="minorHAnsi" w:hAnsiTheme="minorHAnsi" w:cs="Calibri"/>
          <w:b/>
          <w:i/>
          <w:color w:val="000000"/>
          <w:lang w:eastAsia="en-US"/>
        </w:rPr>
        <w:t>Action Plan</w:t>
      </w:r>
      <w:r w:rsidR="007F0F01">
        <w:rPr>
          <w:rFonts w:asciiTheme="minorHAnsi" w:hAnsiTheme="minorHAnsi" w:cs="Calibri"/>
          <w:b/>
          <w:i/>
          <w:color w:val="000000"/>
          <w:lang w:eastAsia="en-US"/>
        </w:rPr>
        <w:t xml:space="preserve"> - </w:t>
      </w:r>
      <w:r w:rsidR="00DC57DA" w:rsidRPr="005021E8">
        <w:rPr>
          <w:rFonts w:asciiTheme="minorHAnsi" w:hAnsiTheme="minorHAnsi" w:cs="Calibri"/>
          <w:color w:val="000000"/>
          <w:lang w:eastAsia="en-US"/>
        </w:rPr>
        <w:t xml:space="preserve">The </w:t>
      </w:r>
      <w:r w:rsidR="00DC57DA">
        <w:rPr>
          <w:rFonts w:asciiTheme="minorHAnsi" w:hAnsiTheme="minorHAnsi" w:cs="Calibri"/>
          <w:color w:val="000000"/>
          <w:lang w:eastAsia="en-US"/>
        </w:rPr>
        <w:t xml:space="preserve">FIP </w:t>
      </w:r>
      <w:r w:rsidR="00056609">
        <w:rPr>
          <w:rFonts w:asciiTheme="minorHAnsi" w:hAnsiTheme="minorHAnsi" w:cs="Calibri"/>
          <w:color w:val="000000"/>
          <w:lang w:eastAsia="en-US"/>
        </w:rPr>
        <w:t>Action Vina Tuna Plan</w:t>
      </w:r>
      <w:r w:rsidR="00DC57DA">
        <w:rPr>
          <w:rFonts w:asciiTheme="minorHAnsi" w:hAnsiTheme="minorHAnsi" w:cs="Calibri"/>
          <w:color w:val="000000"/>
          <w:lang w:eastAsia="en-US"/>
        </w:rPr>
        <w:t xml:space="preserve"> inc</w:t>
      </w:r>
      <w:r w:rsidR="00E16EFB">
        <w:rPr>
          <w:rFonts w:asciiTheme="minorHAnsi" w:hAnsiTheme="minorHAnsi" w:cs="Calibri"/>
          <w:color w:val="000000"/>
          <w:lang w:eastAsia="en-US"/>
        </w:rPr>
        <w:t>ludes 3 goals with a total of 54</w:t>
      </w:r>
      <w:r w:rsidR="00DC57DA">
        <w:rPr>
          <w:rFonts w:asciiTheme="minorHAnsi" w:hAnsiTheme="minorHAnsi" w:cs="Calibri"/>
          <w:color w:val="000000"/>
          <w:lang w:eastAsia="en-US"/>
        </w:rPr>
        <w:t xml:space="preserve"> miles</w:t>
      </w:r>
      <w:r w:rsidR="00056609">
        <w:rPr>
          <w:rFonts w:asciiTheme="minorHAnsi" w:hAnsiTheme="minorHAnsi" w:cs="Calibri"/>
          <w:color w:val="000000"/>
          <w:lang w:eastAsia="en-US"/>
        </w:rPr>
        <w:t>tones to be achieved</w:t>
      </w:r>
      <w:r w:rsidR="00DC57DA">
        <w:rPr>
          <w:rFonts w:asciiTheme="minorHAnsi" w:hAnsiTheme="minorHAnsi" w:cs="Calibri"/>
          <w:color w:val="000000"/>
          <w:lang w:eastAsia="en-US"/>
        </w:rPr>
        <w:t xml:space="preserve">. Under each goal there are detailed activities, which are the focus of the more specific collaboration </w:t>
      </w:r>
      <w:r w:rsidR="00DC57DA">
        <w:rPr>
          <w:rFonts w:asciiTheme="minorHAnsi" w:hAnsiTheme="minorHAnsi" w:cs="Calibri"/>
          <w:color w:val="000000"/>
          <w:lang w:eastAsia="en-US"/>
        </w:rPr>
        <w:lastRenderedPageBreak/>
        <w:t>between WWF</w:t>
      </w:r>
      <w:r>
        <w:rPr>
          <w:rFonts w:asciiTheme="minorHAnsi" w:hAnsiTheme="minorHAnsi" w:cs="Calibri"/>
          <w:color w:val="000000"/>
          <w:lang w:eastAsia="en-US"/>
        </w:rPr>
        <w:t xml:space="preserve">, industry partners </w:t>
      </w:r>
      <w:r w:rsidR="00056609">
        <w:rPr>
          <w:rFonts w:asciiTheme="minorHAnsi" w:hAnsiTheme="minorHAnsi" w:cs="Calibri"/>
          <w:color w:val="000000"/>
          <w:lang w:eastAsia="en-US"/>
        </w:rPr>
        <w:t>and the Government of Vietnam</w:t>
      </w:r>
      <w:r w:rsidR="00DC57DA">
        <w:rPr>
          <w:rFonts w:asciiTheme="minorHAnsi" w:hAnsiTheme="minorHAnsi" w:cs="Calibri"/>
          <w:color w:val="000000"/>
          <w:lang w:eastAsia="en-US"/>
        </w:rPr>
        <w:t>.</w:t>
      </w:r>
      <w:r w:rsidR="00E16EFB">
        <w:rPr>
          <w:rFonts w:asciiTheme="minorHAnsi" w:hAnsiTheme="minorHAnsi" w:cs="Calibri"/>
          <w:color w:val="000000"/>
          <w:lang w:eastAsia="en-US"/>
        </w:rPr>
        <w:t xml:space="preserve">  The Goals, Outcomes and indicated Activi</w:t>
      </w:r>
      <w:r w:rsidR="00B12EE0">
        <w:rPr>
          <w:rFonts w:asciiTheme="minorHAnsi" w:hAnsiTheme="minorHAnsi" w:cs="Calibri"/>
          <w:color w:val="000000"/>
          <w:lang w:eastAsia="en-US"/>
        </w:rPr>
        <w:t>ti</w:t>
      </w:r>
      <w:r w:rsidR="00E16EFB">
        <w:rPr>
          <w:rFonts w:asciiTheme="minorHAnsi" w:hAnsiTheme="minorHAnsi" w:cs="Calibri"/>
          <w:color w:val="000000"/>
          <w:lang w:eastAsia="en-US"/>
        </w:rPr>
        <w:t>es for the Milestones are indicated below:</w:t>
      </w:r>
    </w:p>
    <w:p w:rsidR="00E16EFB" w:rsidRPr="00E16EFB" w:rsidRDefault="00E16EFB" w:rsidP="00E16EFB">
      <w:pPr>
        <w:autoSpaceDE w:val="0"/>
        <w:autoSpaceDN w:val="0"/>
        <w:adjustRightInd w:val="0"/>
        <w:jc w:val="both"/>
        <w:rPr>
          <w:rFonts w:asciiTheme="minorHAnsi" w:hAnsiTheme="minorHAnsi" w:cs="Calibri"/>
          <w:color w:val="000000"/>
          <w:lang w:eastAsia="en-US"/>
        </w:rPr>
      </w:pPr>
    </w:p>
    <w:tbl>
      <w:tblPr>
        <w:tblStyle w:val="TableGrid"/>
        <w:tblW w:w="0" w:type="auto"/>
        <w:shd w:val="clear" w:color="auto" w:fill="EDEDED" w:themeFill="accent3" w:themeFillTint="33"/>
        <w:tblLook w:val="04A0" w:firstRow="1" w:lastRow="0" w:firstColumn="1" w:lastColumn="0" w:noHBand="0" w:noVBand="1"/>
      </w:tblPr>
      <w:tblGrid>
        <w:gridCol w:w="9350"/>
      </w:tblGrid>
      <w:tr w:rsidR="005B7FEA" w:rsidTr="005B7FEA">
        <w:tc>
          <w:tcPr>
            <w:tcW w:w="9576" w:type="dxa"/>
            <w:shd w:val="clear" w:color="auto" w:fill="EDEDED" w:themeFill="accent3" w:themeFillTint="33"/>
          </w:tcPr>
          <w:p w:rsidR="005B7FEA" w:rsidRPr="00E16EFB" w:rsidRDefault="005B7FEA" w:rsidP="005B7FEA">
            <w:pPr>
              <w:rPr>
                <w:b/>
                <w:color w:val="4472C4" w:themeColor="accent5"/>
              </w:rPr>
            </w:pPr>
            <w:bookmarkStart w:id="0" w:name="_Toc378325114"/>
            <w:r w:rsidRPr="00E16EFB">
              <w:rPr>
                <w:b/>
                <w:color w:val="4472C4" w:themeColor="accent5"/>
              </w:rPr>
              <w:t>GOAL 1: To ensure that the tuna catches do not exceed sustainable levels</w:t>
            </w:r>
          </w:p>
          <w:p w:rsidR="005B7FEA" w:rsidRDefault="005B7FEA" w:rsidP="005B7FEA">
            <w:pPr>
              <w:rPr>
                <w:b/>
                <w:i/>
              </w:rPr>
            </w:pPr>
          </w:p>
          <w:p w:rsidR="005B7FEA" w:rsidRPr="00E16EFB" w:rsidRDefault="005B7FEA" w:rsidP="005B7FEA">
            <w:pPr>
              <w:rPr>
                <w:b/>
                <w:i/>
              </w:rPr>
            </w:pPr>
            <w:r w:rsidRPr="00E16EFB">
              <w:rPr>
                <w:b/>
                <w:i/>
              </w:rPr>
              <w:t>Outcome 1.1</w:t>
            </w:r>
            <w:r w:rsidRPr="00E16EFB">
              <w:rPr>
                <w:b/>
                <w:i/>
              </w:rPr>
              <w:tab/>
              <w:t>Stock status improved and reference points applied in management</w:t>
            </w:r>
          </w:p>
          <w:p w:rsidR="005B7FEA" w:rsidRPr="00E16EFB" w:rsidRDefault="005B7FEA" w:rsidP="005B7FEA">
            <w:r>
              <w:t xml:space="preserve">Activity 1.1.1      </w:t>
            </w:r>
            <w:r w:rsidRPr="00E16EFB">
              <w:t>WCPFC would have to set explicit limit reference points which are consistent with the MSC definition of BLIM (0.2 B0), and for these to be applied to the harvest strategy (1.2.1)</w:t>
            </w:r>
          </w:p>
          <w:p w:rsidR="005B7FEA" w:rsidRPr="00E16EFB" w:rsidRDefault="005B7FEA" w:rsidP="005B7FEA">
            <w:r>
              <w:t>Activity 1.1.2      E</w:t>
            </w:r>
            <w:r w:rsidRPr="00E16EFB">
              <w:t>ffective rebu</w:t>
            </w:r>
            <w:r>
              <w:t>ilding strategy</w:t>
            </w:r>
            <w:r w:rsidRPr="00E16EFB">
              <w:t xml:space="preserve"> im</w:t>
            </w:r>
            <w:r>
              <w:t xml:space="preserve">plemented for </w:t>
            </w:r>
            <w:proofErr w:type="spellStart"/>
            <w:r>
              <w:t>bigeye</w:t>
            </w:r>
            <w:proofErr w:type="spellEnd"/>
            <w:r>
              <w:t xml:space="preserve"> tuna (</w:t>
            </w:r>
            <w:r w:rsidRPr="00E16EFB">
              <w:t>require</w:t>
            </w:r>
            <w:r>
              <w:t>s</w:t>
            </w:r>
            <w:r w:rsidRPr="00E16EFB">
              <w:t xml:space="preserve"> CCM and CNMs to implement eff</w:t>
            </w:r>
            <w:r>
              <w:t xml:space="preserve">ective measures, but to </w:t>
            </w:r>
            <w:r w:rsidRPr="00E16EFB">
              <w:t>be achieved in the much longer te</w:t>
            </w:r>
            <w:r>
              <w:t>rm, i.e. 5-10 years, or greater)</w:t>
            </w:r>
            <w:r w:rsidRPr="00E16EFB">
              <w:t xml:space="preserve">  </w:t>
            </w:r>
          </w:p>
          <w:p w:rsidR="005B7FEA" w:rsidRPr="00E16EFB" w:rsidRDefault="005B7FEA" w:rsidP="005B7FEA">
            <w:pPr>
              <w:rPr>
                <w:b/>
                <w:i/>
              </w:rPr>
            </w:pPr>
            <w:r w:rsidRPr="00E16EFB">
              <w:rPr>
                <w:b/>
                <w:i/>
              </w:rPr>
              <w:t>Outcome 1.2</w:t>
            </w:r>
            <w:r w:rsidRPr="00E16EFB">
              <w:rPr>
                <w:b/>
                <w:i/>
              </w:rPr>
              <w:tab/>
              <w:t>Data collection and Information systems strengthened</w:t>
            </w:r>
          </w:p>
          <w:p w:rsidR="005B7FEA" w:rsidRPr="00E16EFB" w:rsidRDefault="005B7FEA" w:rsidP="005B7FEA">
            <w:r w:rsidRPr="00E16EFB">
              <w:t>Activity 1.2.1</w:t>
            </w:r>
            <w:r w:rsidRPr="00E16EFB">
              <w:tab/>
              <w:t>Continue to improve national data collection and monitoring at all levels</w:t>
            </w:r>
          </w:p>
          <w:p w:rsidR="005B7FEA" w:rsidRPr="00E16EFB" w:rsidRDefault="005B7FEA" w:rsidP="005B7FEA">
            <w:pPr>
              <w:rPr>
                <w:b/>
                <w:i/>
              </w:rPr>
            </w:pPr>
            <w:r w:rsidRPr="00E16EFB">
              <w:rPr>
                <w:b/>
                <w:i/>
              </w:rPr>
              <w:t>Outcome 1.3</w:t>
            </w:r>
            <w:r w:rsidRPr="00E16EFB">
              <w:rPr>
                <w:b/>
                <w:i/>
              </w:rPr>
              <w:tab/>
              <w:t>Management strategies applied and supported by tools and the application of strong information and research</w:t>
            </w:r>
          </w:p>
          <w:p w:rsidR="005B7FEA" w:rsidRPr="00E16EFB" w:rsidRDefault="005B7FEA" w:rsidP="005B7FEA">
            <w:r w:rsidRPr="00E16EFB">
              <w:t>Activity 1.3.1</w:t>
            </w:r>
            <w:r w:rsidRPr="00E16EFB">
              <w:tab/>
              <w:t xml:space="preserve">Implementation of a compatible harvest strategy in Vietnam waters (and compliance with CMMs), which would include </w:t>
            </w:r>
            <w:proofErr w:type="spellStart"/>
            <w:r w:rsidRPr="00E16EFB">
              <w:t>longline</w:t>
            </w:r>
            <w:proofErr w:type="spellEnd"/>
            <w:r w:rsidRPr="00E16EFB">
              <w:t>, purse seine and other gears (in</w:t>
            </w:r>
            <w:r>
              <w:t xml:space="preserve">cluding handline and gillnet) </w:t>
            </w:r>
            <w:r w:rsidRPr="00E16EFB">
              <w:t>and would be consistent with Vietnam’s obligations developed through any future changes to 2012-01</w:t>
            </w:r>
          </w:p>
          <w:p w:rsidR="005B7FEA" w:rsidRPr="00E16EFB" w:rsidRDefault="005B7FEA" w:rsidP="005B7FEA">
            <w:r>
              <w:t>Activity 1.3.2</w:t>
            </w:r>
            <w:r>
              <w:tab/>
              <w:t>M</w:t>
            </w:r>
            <w:r w:rsidRPr="00E16EFB">
              <w:t>onitoring system in place (consistent with CMM 2010-03) which evaluates the effectiv</w:t>
            </w:r>
            <w:r>
              <w:t>e</w:t>
            </w:r>
            <w:r w:rsidRPr="00E16EFB">
              <w:t>ness of the management measures</w:t>
            </w:r>
          </w:p>
          <w:p w:rsidR="005B7FEA" w:rsidRPr="00E16EFB" w:rsidRDefault="005B7FEA" w:rsidP="005B7FEA">
            <w:r w:rsidRPr="00E16EFB">
              <w:t>Activity 1.3.3</w:t>
            </w:r>
            <w:r w:rsidRPr="00E16EFB">
              <w:tab/>
              <w:t>Establishing national harvest control rules (input and output restrictions) across the range of tuna fisheries which allow for limits to be implemented as r</w:t>
            </w:r>
            <w:r>
              <w:t>eference points are approached</w:t>
            </w:r>
          </w:p>
          <w:p w:rsidR="005B7FEA" w:rsidRDefault="005B7FEA" w:rsidP="00E16EFB">
            <w:pPr>
              <w:rPr>
                <w:b/>
                <w:color w:val="4472C4" w:themeColor="accent5"/>
              </w:rPr>
            </w:pPr>
          </w:p>
        </w:tc>
      </w:tr>
    </w:tbl>
    <w:p w:rsidR="005B7FEA" w:rsidRPr="00E16EFB" w:rsidRDefault="005B7FEA" w:rsidP="00E16EFB">
      <w:bookmarkStart w:id="1" w:name="_Toc378325115"/>
      <w:bookmarkEnd w:id="0"/>
    </w:p>
    <w:tbl>
      <w:tblPr>
        <w:tblStyle w:val="TableGrid"/>
        <w:tblW w:w="0" w:type="auto"/>
        <w:shd w:val="clear" w:color="auto" w:fill="EDEDED" w:themeFill="accent3" w:themeFillTint="33"/>
        <w:tblLook w:val="04A0" w:firstRow="1" w:lastRow="0" w:firstColumn="1" w:lastColumn="0" w:noHBand="0" w:noVBand="1"/>
      </w:tblPr>
      <w:tblGrid>
        <w:gridCol w:w="9350"/>
      </w:tblGrid>
      <w:tr w:rsidR="005B7FEA" w:rsidTr="005B7FEA">
        <w:tc>
          <w:tcPr>
            <w:tcW w:w="9576" w:type="dxa"/>
            <w:shd w:val="clear" w:color="auto" w:fill="EDEDED" w:themeFill="accent3" w:themeFillTint="33"/>
          </w:tcPr>
          <w:p w:rsidR="005B7FEA" w:rsidRPr="00E16EFB" w:rsidRDefault="005B7FEA" w:rsidP="005B7FEA">
            <w:pPr>
              <w:rPr>
                <w:b/>
                <w:color w:val="4472C4" w:themeColor="accent5"/>
              </w:rPr>
            </w:pPr>
            <w:r w:rsidRPr="00E16EFB">
              <w:rPr>
                <w:b/>
                <w:color w:val="4472C4" w:themeColor="accent5"/>
              </w:rPr>
              <w:t>GOAL 2: To promote the ecosystem based approach to fisheries management</w:t>
            </w:r>
          </w:p>
          <w:p w:rsidR="005B7FEA" w:rsidRDefault="005B7FEA" w:rsidP="005B7FEA"/>
          <w:p w:rsidR="005B7FEA" w:rsidRPr="00E16EFB" w:rsidRDefault="005B7FEA" w:rsidP="005B7FEA">
            <w:pPr>
              <w:rPr>
                <w:b/>
                <w:i/>
              </w:rPr>
            </w:pPr>
            <w:r w:rsidRPr="00E16EFB">
              <w:rPr>
                <w:b/>
                <w:i/>
              </w:rPr>
              <w:t>Outcome 2.1</w:t>
            </w:r>
            <w:r w:rsidRPr="00E16EFB">
              <w:rPr>
                <w:b/>
                <w:i/>
              </w:rPr>
              <w:tab/>
              <w:t xml:space="preserve">Retained and </w:t>
            </w:r>
            <w:proofErr w:type="spellStart"/>
            <w:r w:rsidRPr="00E16EFB">
              <w:rPr>
                <w:b/>
                <w:i/>
              </w:rPr>
              <w:t>bycatch</w:t>
            </w:r>
            <w:proofErr w:type="spellEnd"/>
            <w:r w:rsidRPr="00E16EFB">
              <w:rPr>
                <w:b/>
                <w:i/>
              </w:rPr>
              <w:t xml:space="preserve"> species subject to a management strategy</w:t>
            </w:r>
          </w:p>
          <w:p w:rsidR="005B7FEA" w:rsidRDefault="005B7FEA" w:rsidP="005B7FEA">
            <w:r>
              <w:t>Activity 2.1.1</w:t>
            </w:r>
            <w:r>
              <w:tab/>
              <w:t xml:space="preserve">Document the catch of </w:t>
            </w:r>
            <w:proofErr w:type="spellStart"/>
            <w:r>
              <w:t>bigeye</w:t>
            </w:r>
            <w:proofErr w:type="spellEnd"/>
            <w:r>
              <w:t xml:space="preserve"> tuna, shark, billfish, baitfish and other species in the handline and </w:t>
            </w:r>
            <w:proofErr w:type="spellStart"/>
            <w:r>
              <w:t>longline</w:t>
            </w:r>
            <w:proofErr w:type="spellEnd"/>
            <w:r>
              <w:t xml:space="preserve"> fisheries (See FIP action 2.1.3)</w:t>
            </w:r>
          </w:p>
          <w:p w:rsidR="005B7FEA" w:rsidRDefault="005B7FEA" w:rsidP="005B7FEA">
            <w:r>
              <w:t>Activity 2.1.2</w:t>
            </w:r>
            <w:r>
              <w:tab/>
              <w:t xml:space="preserve">Undertake retained species and </w:t>
            </w:r>
            <w:proofErr w:type="spellStart"/>
            <w:r>
              <w:t>bycatch</w:t>
            </w:r>
            <w:proofErr w:type="spellEnd"/>
            <w:r>
              <w:t xml:space="preserve"> management strategy for all billfish and bait stocks and any other retained or </w:t>
            </w:r>
            <w:proofErr w:type="spellStart"/>
            <w:r>
              <w:t>bycatch</w:t>
            </w:r>
            <w:proofErr w:type="spellEnd"/>
            <w:r>
              <w:t xml:space="preserve"> species, if data shows catch rates to be 5% or more</w:t>
            </w:r>
          </w:p>
          <w:p w:rsidR="005B7FEA" w:rsidRPr="00E16EFB" w:rsidRDefault="005B7FEA" w:rsidP="005B7FEA">
            <w:pPr>
              <w:rPr>
                <w:b/>
                <w:i/>
              </w:rPr>
            </w:pPr>
            <w:r w:rsidRPr="00E16EFB">
              <w:rPr>
                <w:b/>
                <w:i/>
              </w:rPr>
              <w:t>Outcome 2.2</w:t>
            </w:r>
            <w:r w:rsidRPr="00E16EFB">
              <w:rPr>
                <w:b/>
                <w:i/>
              </w:rPr>
              <w:tab/>
              <w:t>Shark management measures implemented</w:t>
            </w:r>
          </w:p>
          <w:p w:rsidR="005B7FEA" w:rsidRDefault="005B7FEA" w:rsidP="005B7FEA">
            <w:r>
              <w:t>Activity 2.2.1</w:t>
            </w:r>
            <w:r>
              <w:tab/>
              <w:t xml:space="preserve">If certain sharks (silky, </w:t>
            </w:r>
            <w:proofErr w:type="spellStart"/>
            <w:r>
              <w:t>mako</w:t>
            </w:r>
            <w:proofErr w:type="spellEnd"/>
            <w:r>
              <w:t xml:space="preserve"> and thresher sharks) are found in fishery and retained, implement a partial strategy consistent with CMM 2010-07. Implement full strategy to prevent retention capture of oceanic </w:t>
            </w:r>
            <w:proofErr w:type="spellStart"/>
            <w:r>
              <w:t>whitetips</w:t>
            </w:r>
            <w:proofErr w:type="spellEnd"/>
            <w:r>
              <w:t xml:space="preserve"> (CMM 2011-03/CITES App 2) and scalloped, great and smooth hammerheads (CITES App 2)</w:t>
            </w:r>
            <w:r w:rsidR="002E11EB">
              <w:t>.  Establish shark NPOA</w:t>
            </w:r>
          </w:p>
          <w:p w:rsidR="005B7FEA" w:rsidRPr="00E16EFB" w:rsidRDefault="005B7FEA" w:rsidP="005B7FEA">
            <w:pPr>
              <w:rPr>
                <w:b/>
                <w:i/>
              </w:rPr>
            </w:pPr>
            <w:r w:rsidRPr="00E16EFB">
              <w:rPr>
                <w:b/>
                <w:i/>
              </w:rPr>
              <w:t>Outcome 2.3</w:t>
            </w:r>
            <w:r w:rsidRPr="00E16EFB">
              <w:rPr>
                <w:b/>
                <w:i/>
              </w:rPr>
              <w:tab/>
              <w:t>Turtle management strengthened</w:t>
            </w:r>
          </w:p>
          <w:p w:rsidR="005B7FEA" w:rsidRDefault="005B7FEA" w:rsidP="005B7FEA">
            <w:r>
              <w:t>Activity 2.3.1</w:t>
            </w:r>
            <w:r>
              <w:tab/>
              <w:t>Monitor and implement a turtle management mitigation policy</w:t>
            </w:r>
            <w:r w:rsidR="002E11EB">
              <w:t>; update turtle NPOA</w:t>
            </w:r>
          </w:p>
          <w:p w:rsidR="005B7FEA" w:rsidRPr="00E16EFB" w:rsidRDefault="005B7FEA" w:rsidP="005B7FEA">
            <w:pPr>
              <w:rPr>
                <w:b/>
                <w:i/>
              </w:rPr>
            </w:pPr>
            <w:r w:rsidRPr="00E16EFB">
              <w:rPr>
                <w:b/>
                <w:i/>
              </w:rPr>
              <w:t>Outcome 2.4</w:t>
            </w:r>
            <w:r w:rsidRPr="00E16EFB">
              <w:rPr>
                <w:b/>
                <w:i/>
              </w:rPr>
              <w:tab/>
              <w:t>Habitats subject to a management strategy</w:t>
            </w:r>
          </w:p>
          <w:p w:rsidR="005B7FEA" w:rsidRDefault="005B7FEA" w:rsidP="005B7FEA">
            <w:r>
              <w:t>Activity 2.4.1</w:t>
            </w:r>
            <w:r>
              <w:tab/>
              <w:t>Incorporate a requirement to record gear losses into the national observer programme</w:t>
            </w:r>
          </w:p>
          <w:p w:rsidR="005B7FEA" w:rsidRPr="00E16EFB" w:rsidRDefault="005B7FEA" w:rsidP="005B7FEA">
            <w:pPr>
              <w:rPr>
                <w:b/>
                <w:i/>
              </w:rPr>
            </w:pPr>
            <w:r w:rsidRPr="00E16EFB">
              <w:rPr>
                <w:b/>
                <w:i/>
              </w:rPr>
              <w:t>Outcome 2.5</w:t>
            </w:r>
            <w:r w:rsidRPr="00E16EFB">
              <w:rPr>
                <w:b/>
                <w:i/>
              </w:rPr>
              <w:tab/>
              <w:t>Ecosystems and biodiversity assessments made for the Vietnamese and South China Sea region</w:t>
            </w:r>
          </w:p>
          <w:p w:rsidR="005B7FEA" w:rsidRPr="006A3F52" w:rsidRDefault="005B7FEA" w:rsidP="00E16EFB">
            <w:r>
              <w:t>Activity 2.5.1</w:t>
            </w:r>
            <w:r>
              <w:tab/>
              <w:t>Assess the ecosystem impact for the Vietnam EEZ /South China Sea Sub region</w:t>
            </w:r>
          </w:p>
        </w:tc>
      </w:tr>
    </w:tbl>
    <w:p w:rsidR="005B7FEA" w:rsidRDefault="005B7FEA" w:rsidP="00E16EFB">
      <w:pPr>
        <w:rPr>
          <w:b/>
          <w:color w:val="4472C4" w:themeColor="accent5"/>
        </w:rPr>
      </w:pPr>
    </w:p>
    <w:p w:rsidR="002E11EB" w:rsidRDefault="002E11EB" w:rsidP="00E16EFB">
      <w:pPr>
        <w:rPr>
          <w:b/>
          <w:color w:val="4472C4" w:themeColor="accent5"/>
        </w:rPr>
      </w:pPr>
    </w:p>
    <w:p w:rsidR="005B7FEA" w:rsidRDefault="005B7FEA" w:rsidP="00E16EFB">
      <w:pPr>
        <w:rPr>
          <w:b/>
          <w:color w:val="4472C4" w:themeColor="accent5"/>
        </w:rPr>
      </w:pPr>
    </w:p>
    <w:tbl>
      <w:tblPr>
        <w:tblStyle w:val="TableGrid"/>
        <w:tblW w:w="0" w:type="auto"/>
        <w:shd w:val="clear" w:color="auto" w:fill="EDEDED" w:themeFill="accent3" w:themeFillTint="33"/>
        <w:tblLook w:val="04A0" w:firstRow="1" w:lastRow="0" w:firstColumn="1" w:lastColumn="0" w:noHBand="0" w:noVBand="1"/>
      </w:tblPr>
      <w:tblGrid>
        <w:gridCol w:w="9350"/>
      </w:tblGrid>
      <w:tr w:rsidR="005B7FEA" w:rsidTr="005B7FEA">
        <w:tc>
          <w:tcPr>
            <w:tcW w:w="9576" w:type="dxa"/>
            <w:shd w:val="clear" w:color="auto" w:fill="EDEDED" w:themeFill="accent3" w:themeFillTint="33"/>
          </w:tcPr>
          <w:p w:rsidR="005B7FEA" w:rsidRPr="00E16EFB" w:rsidRDefault="005B7FEA" w:rsidP="005B7FEA">
            <w:pPr>
              <w:rPr>
                <w:b/>
                <w:color w:val="4472C4" w:themeColor="accent5"/>
              </w:rPr>
            </w:pPr>
            <w:bookmarkStart w:id="2" w:name="_Toc378325116"/>
            <w:bookmarkEnd w:id="1"/>
            <w:r w:rsidRPr="00E16EFB">
              <w:rPr>
                <w:b/>
                <w:color w:val="4472C4" w:themeColor="accent5"/>
              </w:rPr>
              <w:lastRenderedPageBreak/>
              <w:t>GOAL 3: Fisheries Governance strengthened</w:t>
            </w:r>
            <w:bookmarkEnd w:id="2"/>
          </w:p>
          <w:p w:rsidR="005B7FEA" w:rsidRDefault="005B7FEA" w:rsidP="005B7FEA"/>
          <w:p w:rsidR="005B7FEA" w:rsidRPr="00E16EFB" w:rsidRDefault="005B7FEA" w:rsidP="005B7FEA">
            <w:pPr>
              <w:rPr>
                <w:b/>
                <w:i/>
              </w:rPr>
            </w:pPr>
            <w:r w:rsidRPr="00E16EFB">
              <w:rPr>
                <w:b/>
                <w:i/>
              </w:rPr>
              <w:t>Outcome 3.1</w:t>
            </w:r>
            <w:r w:rsidRPr="00E16EFB">
              <w:rPr>
                <w:b/>
                <w:i/>
              </w:rPr>
              <w:tab/>
              <w:t>Fisheries Law effectively implemented</w:t>
            </w:r>
          </w:p>
          <w:p w:rsidR="005B7FEA" w:rsidRDefault="005B7FEA" w:rsidP="005B7FEA">
            <w:r>
              <w:t>Activity 3.1.1</w:t>
            </w:r>
            <w:r>
              <w:tab/>
              <w:t>Clarification of Vietnam's status within the convention, and extension of the convention area to the Vietnam</w:t>
            </w:r>
          </w:p>
          <w:p w:rsidR="005B7FEA" w:rsidRPr="007F0F01" w:rsidRDefault="005B7FEA" w:rsidP="005B7FEA">
            <w:r w:rsidRPr="007F0F01">
              <w:t>Activity 3.1.2</w:t>
            </w:r>
            <w:r w:rsidRPr="007F0F01">
              <w:tab/>
              <w:t xml:space="preserve">Implementation of the Fisheries Law containing </w:t>
            </w:r>
            <w:r>
              <w:t xml:space="preserve">core elements which prioritise </w:t>
            </w:r>
            <w:r w:rsidRPr="007F0F01">
              <w:t>sustainable fisheries, and provisions for implementation of international conventions including CMMs</w:t>
            </w:r>
          </w:p>
          <w:p w:rsidR="005B7FEA" w:rsidRPr="007F0F01" w:rsidRDefault="005B7FEA" w:rsidP="005B7FEA">
            <w:pPr>
              <w:rPr>
                <w:b/>
                <w:i/>
              </w:rPr>
            </w:pPr>
            <w:r w:rsidRPr="007F0F01">
              <w:rPr>
                <w:b/>
                <w:i/>
              </w:rPr>
              <w:t>Outcome 3.2</w:t>
            </w:r>
            <w:r w:rsidRPr="007F0F01">
              <w:rPr>
                <w:b/>
                <w:i/>
              </w:rPr>
              <w:tab/>
              <w:t>Roles and responsibilities and consultation processes fully implemented</w:t>
            </w:r>
          </w:p>
          <w:p w:rsidR="005B7FEA" w:rsidRDefault="005B7FEA" w:rsidP="005B7FEA">
            <w:r>
              <w:t xml:space="preserve">Activity 3.2.1 </w:t>
            </w:r>
            <w:r>
              <w:tab/>
              <w:t>Impl</w:t>
            </w:r>
            <w:r w:rsidR="00086C3E">
              <w:t>ementation of the Advisory Council</w:t>
            </w:r>
            <w:r>
              <w:t xml:space="preserve"> through the National Tuna Management Plan (NTMP) process</w:t>
            </w:r>
          </w:p>
          <w:p w:rsidR="005B7FEA" w:rsidRDefault="005B7FEA" w:rsidP="005B7FEA">
            <w:r>
              <w:t>Activity 3.2.2</w:t>
            </w:r>
            <w:r>
              <w:tab/>
              <w:t>Revise the a tuna fisheries strategy so that long term and short term objectives demonstrate effective implementation of sustainable fisheries management systems</w:t>
            </w:r>
          </w:p>
          <w:p w:rsidR="005B7FEA" w:rsidRPr="007F0F01" w:rsidRDefault="005B7FEA" w:rsidP="005B7FEA">
            <w:pPr>
              <w:rPr>
                <w:b/>
                <w:i/>
              </w:rPr>
            </w:pPr>
            <w:r w:rsidRPr="007F0F01">
              <w:rPr>
                <w:b/>
                <w:i/>
              </w:rPr>
              <w:t>Outcome 3.3</w:t>
            </w:r>
            <w:r w:rsidRPr="007F0F01">
              <w:rPr>
                <w:b/>
                <w:i/>
              </w:rPr>
              <w:tab/>
              <w:t>Positive incentives promoted</w:t>
            </w:r>
          </w:p>
          <w:p w:rsidR="005B7FEA" w:rsidRDefault="005B7FEA" w:rsidP="005B7FEA">
            <w:r>
              <w:t>Activity 3.3.1</w:t>
            </w:r>
            <w:r>
              <w:tab/>
              <w:t xml:space="preserve">Review negative and positive incentives against the stock status for </w:t>
            </w:r>
            <w:proofErr w:type="spellStart"/>
            <w:r>
              <w:t>yellowfin</w:t>
            </w:r>
            <w:proofErr w:type="spellEnd"/>
            <w:r>
              <w:t xml:space="preserve"> and </w:t>
            </w:r>
            <w:proofErr w:type="spellStart"/>
            <w:r>
              <w:t>bigeye</w:t>
            </w:r>
            <w:proofErr w:type="spellEnd"/>
            <w:r>
              <w:t xml:space="preserve">, as well as the impact on </w:t>
            </w:r>
            <w:proofErr w:type="spellStart"/>
            <w:r>
              <w:t>bycatch</w:t>
            </w:r>
            <w:proofErr w:type="spellEnd"/>
          </w:p>
          <w:p w:rsidR="005B7FEA" w:rsidRPr="007F0F01" w:rsidRDefault="005B7FEA" w:rsidP="005B7FEA">
            <w:pPr>
              <w:rPr>
                <w:b/>
                <w:i/>
              </w:rPr>
            </w:pPr>
            <w:r w:rsidRPr="007F0F01">
              <w:rPr>
                <w:b/>
                <w:i/>
              </w:rPr>
              <w:t>Outcome 3.4</w:t>
            </w:r>
            <w:r w:rsidRPr="007F0F01">
              <w:rPr>
                <w:b/>
                <w:i/>
              </w:rPr>
              <w:tab/>
              <w:t>Fishery specific management objectives applied</w:t>
            </w:r>
          </w:p>
          <w:p w:rsidR="005B7FEA" w:rsidRDefault="005B7FEA" w:rsidP="005B7FEA">
            <w:r>
              <w:t>Activity 3.4.1</w:t>
            </w:r>
            <w:r>
              <w:tab/>
              <w:t>Handline fishery is included along with the other tuna fisheries contained within the management plan</w:t>
            </w:r>
          </w:p>
          <w:p w:rsidR="005B7FEA" w:rsidRPr="007F0F01" w:rsidRDefault="005B7FEA" w:rsidP="005B7FEA">
            <w:pPr>
              <w:rPr>
                <w:b/>
                <w:i/>
              </w:rPr>
            </w:pPr>
            <w:r w:rsidRPr="007F0F01">
              <w:rPr>
                <w:b/>
                <w:i/>
              </w:rPr>
              <w:t>Outcome 3.5</w:t>
            </w:r>
            <w:r w:rsidRPr="007F0F01">
              <w:rPr>
                <w:b/>
                <w:i/>
              </w:rPr>
              <w:tab/>
              <w:t xml:space="preserve">Decision making process strengthened </w:t>
            </w:r>
          </w:p>
          <w:p w:rsidR="005B7FEA" w:rsidRDefault="005B7FEA" w:rsidP="005B7FEA">
            <w:r>
              <w:t>Activity 3.5.1</w:t>
            </w:r>
            <w:r>
              <w:tab/>
              <w:t>Clarify decision-making structure defined with the NTMP</w:t>
            </w:r>
          </w:p>
          <w:p w:rsidR="005B7FEA" w:rsidRPr="007F0F01" w:rsidRDefault="005B7FEA" w:rsidP="005B7FEA">
            <w:pPr>
              <w:rPr>
                <w:b/>
              </w:rPr>
            </w:pPr>
            <w:r w:rsidRPr="007F0F01">
              <w:rPr>
                <w:b/>
              </w:rPr>
              <w:t>Outcome 3.6</w:t>
            </w:r>
            <w:r w:rsidRPr="007F0F01">
              <w:rPr>
                <w:b/>
              </w:rPr>
              <w:tab/>
              <w:t>Effective application of compliance systems</w:t>
            </w:r>
          </w:p>
          <w:p w:rsidR="005B7FEA" w:rsidRDefault="005B7FEA" w:rsidP="005B7FEA">
            <w:r>
              <w:t>Activity 3.6.1</w:t>
            </w:r>
            <w:r>
              <w:tab/>
              <w:t>Strengthen the compliance monitoring system</w:t>
            </w:r>
          </w:p>
          <w:p w:rsidR="005B7FEA" w:rsidRPr="007F0F01" w:rsidRDefault="005B7FEA" w:rsidP="005B7FEA">
            <w:pPr>
              <w:rPr>
                <w:b/>
                <w:i/>
              </w:rPr>
            </w:pPr>
            <w:r>
              <w:rPr>
                <w:b/>
                <w:i/>
              </w:rPr>
              <w:t>Outcome 3.7</w:t>
            </w:r>
            <w:r>
              <w:rPr>
                <w:b/>
                <w:i/>
              </w:rPr>
              <w:tab/>
              <w:t>N</w:t>
            </w:r>
            <w:r w:rsidRPr="007F0F01">
              <w:rPr>
                <w:b/>
                <w:i/>
              </w:rPr>
              <w:t>ational research plan is in place</w:t>
            </w:r>
          </w:p>
          <w:p w:rsidR="005B7FEA" w:rsidRDefault="005B7FEA" w:rsidP="005B7FEA">
            <w:r>
              <w:t>Activity 3.7.1</w:t>
            </w:r>
            <w:r>
              <w:tab/>
              <w:t>National research plan in place which addresses P1 and P2 requirements</w:t>
            </w:r>
          </w:p>
          <w:p w:rsidR="005B7FEA" w:rsidRDefault="005B7FEA" w:rsidP="00E16EFB"/>
        </w:tc>
      </w:tr>
    </w:tbl>
    <w:p w:rsidR="00E16EFB" w:rsidRPr="00E16EFB" w:rsidRDefault="00E16EFB" w:rsidP="00E16EFB"/>
    <w:p w:rsidR="00DC57DA" w:rsidRDefault="00DC57DA" w:rsidP="00DC57DA">
      <w:pPr>
        <w:spacing w:before="40"/>
        <w:jc w:val="both"/>
        <w:rPr>
          <w:rFonts w:asciiTheme="minorHAnsi" w:eastAsiaTheme="minorEastAsia" w:hAnsiTheme="minorHAnsi" w:cstheme="minorBidi"/>
          <w:bCs/>
          <w:iCs/>
          <w:lang w:eastAsia="en-US"/>
        </w:rPr>
      </w:pPr>
    </w:p>
    <w:p w:rsidR="00DC57DA" w:rsidRPr="00D03628" w:rsidRDefault="00DC57DA" w:rsidP="00DC57DA">
      <w:pPr>
        <w:spacing w:before="40"/>
        <w:jc w:val="both"/>
        <w:rPr>
          <w:rFonts w:asciiTheme="minorHAnsi" w:eastAsiaTheme="minorEastAsia" w:hAnsiTheme="minorHAnsi" w:cstheme="minorBidi"/>
          <w:b/>
          <w:bCs/>
          <w:iCs/>
          <w:lang w:eastAsia="en-US"/>
        </w:rPr>
      </w:pPr>
      <w:r w:rsidRPr="00D03628">
        <w:rPr>
          <w:rFonts w:asciiTheme="minorHAnsi" w:eastAsiaTheme="minorEastAsia" w:hAnsiTheme="minorHAnsi" w:cstheme="minorBidi"/>
          <w:b/>
          <w:bCs/>
          <w:iCs/>
          <w:lang w:eastAsia="en-US"/>
        </w:rPr>
        <w:t>Next steps</w:t>
      </w:r>
    </w:p>
    <w:p w:rsidR="00DC57DA" w:rsidRPr="005021E8" w:rsidRDefault="00DC57DA" w:rsidP="00DC57DA">
      <w:pPr>
        <w:spacing w:before="40"/>
        <w:jc w:val="both"/>
        <w:rPr>
          <w:rFonts w:asciiTheme="minorHAnsi" w:eastAsiaTheme="minorEastAsia" w:hAnsiTheme="minorHAnsi" w:cstheme="minorBidi"/>
          <w:bCs/>
          <w:iCs/>
          <w:lang w:eastAsia="en-US"/>
        </w:rPr>
      </w:pPr>
    </w:p>
    <w:p w:rsidR="00DC57DA" w:rsidRDefault="007F0F01" w:rsidP="00DC57DA">
      <w:p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Prio</w:t>
      </w:r>
      <w:r w:rsidR="00DD308F">
        <w:rPr>
          <w:rFonts w:asciiTheme="minorHAnsi" w:eastAsiaTheme="minorEastAsia" w:hAnsiTheme="minorHAnsi" w:cstheme="minorBidi"/>
          <w:lang w:val="en-US" w:eastAsia="en-US"/>
        </w:rPr>
        <w:t>rity activities/milestones</w:t>
      </w:r>
      <w:r w:rsidR="003A3ABC">
        <w:rPr>
          <w:rFonts w:asciiTheme="minorHAnsi" w:eastAsiaTheme="minorEastAsia" w:hAnsiTheme="minorHAnsi" w:cstheme="minorBidi"/>
          <w:lang w:val="en-US" w:eastAsia="en-US"/>
        </w:rPr>
        <w:t xml:space="preserve"> </w:t>
      </w:r>
      <w:r w:rsidR="005B629C">
        <w:rPr>
          <w:rFonts w:asciiTheme="minorHAnsi" w:eastAsiaTheme="minorEastAsia" w:hAnsiTheme="minorHAnsi" w:cstheme="minorBidi"/>
          <w:lang w:val="en-US" w:eastAsia="en-US"/>
        </w:rPr>
        <w:t xml:space="preserve">identified to be executed </w:t>
      </w:r>
      <w:r w:rsidR="003A3ABC">
        <w:rPr>
          <w:rFonts w:asciiTheme="minorHAnsi" w:eastAsiaTheme="minorEastAsia" w:hAnsiTheme="minorHAnsi" w:cstheme="minorBidi"/>
          <w:lang w:val="en-US" w:eastAsia="en-US"/>
        </w:rPr>
        <w:t xml:space="preserve">over the next </w:t>
      </w:r>
      <w:r w:rsidR="005B629C">
        <w:rPr>
          <w:rFonts w:asciiTheme="minorHAnsi" w:eastAsiaTheme="minorEastAsia" w:hAnsiTheme="minorHAnsi" w:cstheme="minorBidi"/>
          <w:lang w:val="en-US" w:eastAsia="en-US"/>
        </w:rPr>
        <w:t>12</w:t>
      </w:r>
      <w:r>
        <w:rPr>
          <w:rFonts w:asciiTheme="minorHAnsi" w:eastAsiaTheme="minorEastAsia" w:hAnsiTheme="minorHAnsi" w:cstheme="minorBidi"/>
          <w:lang w:val="en-US" w:eastAsia="en-US"/>
        </w:rPr>
        <w:t xml:space="preserve"> month period include:</w:t>
      </w:r>
    </w:p>
    <w:p w:rsidR="005B629C" w:rsidRPr="005B629C" w:rsidRDefault="005B629C" w:rsidP="005B629C">
      <w:pPr>
        <w:jc w:val="both"/>
        <w:rPr>
          <w:rFonts w:asciiTheme="minorHAnsi" w:eastAsiaTheme="minorEastAsia" w:hAnsiTheme="minorHAnsi" w:cstheme="minorBidi"/>
          <w:lang w:val="en-US" w:eastAsia="en-US"/>
        </w:rPr>
      </w:pPr>
    </w:p>
    <w:p w:rsidR="005B629C" w:rsidRP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t>Ensuring effective Government of Vietnam (</w:t>
      </w:r>
      <w:proofErr w:type="spellStart"/>
      <w:r w:rsidRPr="005B629C">
        <w:rPr>
          <w:rFonts w:asciiTheme="minorHAnsi" w:eastAsiaTheme="minorEastAsia" w:hAnsiTheme="minorHAnsi" w:cstheme="minorBidi"/>
          <w:lang w:val="en-US" w:eastAsia="en-US"/>
        </w:rPr>
        <w:t>GoV</w:t>
      </w:r>
      <w:proofErr w:type="spellEnd"/>
      <w:r w:rsidRPr="005B629C">
        <w:rPr>
          <w:rFonts w:asciiTheme="minorHAnsi" w:eastAsiaTheme="minorEastAsia" w:hAnsiTheme="minorHAnsi" w:cstheme="minorBidi"/>
          <w:lang w:val="en-US" w:eastAsia="en-US"/>
        </w:rPr>
        <w:t>) participation in the Science Committee working groups (SC-10) and WCPFC-10 general session d</w:t>
      </w:r>
      <w:r w:rsidRPr="005B629C">
        <w:rPr>
          <w:rFonts w:asciiTheme="minorHAnsi" w:eastAsiaTheme="minorEastAsia" w:hAnsiTheme="minorHAnsi" w:cstheme="minorBidi"/>
          <w:lang w:val="en-US" w:eastAsia="en-US"/>
        </w:rPr>
        <w:t>iscussions on reference points</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t xml:space="preserve">Setting catch and/or effort limits for </w:t>
      </w:r>
      <w:proofErr w:type="spellStart"/>
      <w:r w:rsidRPr="005B629C">
        <w:rPr>
          <w:rFonts w:asciiTheme="minorHAnsi" w:eastAsiaTheme="minorEastAsia" w:hAnsiTheme="minorHAnsi" w:cstheme="minorBidi"/>
          <w:lang w:val="en-US" w:eastAsia="en-US"/>
        </w:rPr>
        <w:t>bigeye</w:t>
      </w:r>
      <w:proofErr w:type="spellEnd"/>
      <w:r w:rsidRPr="005B629C">
        <w:rPr>
          <w:rFonts w:asciiTheme="minorHAnsi" w:eastAsiaTheme="minorEastAsia" w:hAnsiTheme="minorHAnsi" w:cstheme="minorBidi"/>
          <w:lang w:val="en-US" w:eastAsia="en-US"/>
        </w:rPr>
        <w:t xml:space="preserve"> and </w:t>
      </w:r>
      <w:proofErr w:type="spellStart"/>
      <w:r w:rsidRPr="005B629C">
        <w:rPr>
          <w:rFonts w:asciiTheme="minorHAnsi" w:eastAsiaTheme="minorEastAsia" w:hAnsiTheme="minorHAnsi" w:cstheme="minorBidi"/>
          <w:lang w:val="en-US" w:eastAsia="en-US"/>
        </w:rPr>
        <w:t>yello</w:t>
      </w:r>
      <w:r w:rsidRPr="005B629C">
        <w:rPr>
          <w:rFonts w:asciiTheme="minorHAnsi" w:eastAsiaTheme="minorEastAsia" w:hAnsiTheme="minorHAnsi" w:cstheme="minorBidi"/>
          <w:lang w:val="en-US" w:eastAsia="en-US"/>
        </w:rPr>
        <w:t>wfin</w:t>
      </w:r>
      <w:proofErr w:type="spellEnd"/>
      <w:r w:rsidRPr="005B629C">
        <w:rPr>
          <w:rFonts w:asciiTheme="minorHAnsi" w:eastAsiaTheme="minorEastAsia" w:hAnsiTheme="minorHAnsi" w:cstheme="minorBidi"/>
          <w:lang w:val="en-US" w:eastAsia="en-US"/>
        </w:rPr>
        <w:t xml:space="preserve"> tuna consistent with WCPFC</w:t>
      </w:r>
      <w:r w:rsidRPr="005B629C">
        <w:rPr>
          <w:rFonts w:asciiTheme="minorHAnsi" w:eastAsiaTheme="minorEastAsia" w:hAnsiTheme="minorHAnsi" w:cstheme="minorBidi"/>
          <w:lang w:val="en-US" w:eastAsia="en-US"/>
        </w:rPr>
        <w:t xml:space="preserve"> (i.e. 2001-2004 levels or alternative) and based on an historic reference point</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t>Ensuring compliance with CMM 2008-1, CMM 2012-1 and any subsequent measures, and appropriate reporting to WCPFC on effectiveness of the CMMs</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t xml:space="preserve">Organizing workshop(s) on options for input (effort) and output (quotas) for </w:t>
      </w:r>
      <w:proofErr w:type="spellStart"/>
      <w:r w:rsidRPr="005B629C">
        <w:rPr>
          <w:rFonts w:asciiTheme="minorHAnsi" w:eastAsiaTheme="minorEastAsia" w:hAnsiTheme="minorHAnsi" w:cstheme="minorBidi"/>
          <w:lang w:val="en-US" w:eastAsia="en-US"/>
        </w:rPr>
        <w:t>longline</w:t>
      </w:r>
      <w:proofErr w:type="spellEnd"/>
      <w:r w:rsidRPr="005B629C">
        <w:rPr>
          <w:rFonts w:asciiTheme="minorHAnsi" w:eastAsiaTheme="minorEastAsia" w:hAnsiTheme="minorHAnsi" w:cstheme="minorBidi"/>
          <w:lang w:val="en-US" w:eastAsia="en-US"/>
        </w:rPr>
        <w:t xml:space="preserve"> and </w:t>
      </w:r>
      <w:proofErr w:type="spellStart"/>
      <w:r w:rsidRPr="005B629C">
        <w:rPr>
          <w:rFonts w:asciiTheme="minorHAnsi" w:eastAsiaTheme="minorEastAsia" w:hAnsiTheme="minorHAnsi" w:cstheme="minorBidi"/>
          <w:lang w:val="en-US" w:eastAsia="en-US"/>
        </w:rPr>
        <w:t>handline</w:t>
      </w:r>
      <w:proofErr w:type="spellEnd"/>
      <w:r w:rsidRPr="005B629C">
        <w:rPr>
          <w:rFonts w:asciiTheme="minorHAnsi" w:eastAsiaTheme="minorEastAsia" w:hAnsiTheme="minorHAnsi" w:cstheme="minorBidi"/>
          <w:lang w:val="en-US" w:eastAsia="en-US"/>
        </w:rPr>
        <w:t xml:space="preserve"> fisheries based on WCPFC reference points (CMM 2012-1)</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Implementing</w:t>
      </w:r>
      <w:r w:rsidRPr="005B629C">
        <w:rPr>
          <w:rFonts w:asciiTheme="minorHAnsi" w:eastAsiaTheme="minorEastAsia" w:hAnsiTheme="minorHAnsi" w:cstheme="minorBidi"/>
          <w:lang w:val="en-US" w:eastAsia="en-US"/>
        </w:rPr>
        <w:t xml:space="preserve"> shark CMMs 2010-07 a</w:t>
      </w:r>
      <w:r w:rsidRPr="005B629C">
        <w:rPr>
          <w:rFonts w:asciiTheme="minorHAnsi" w:eastAsiaTheme="minorEastAsia" w:hAnsiTheme="minorHAnsi" w:cstheme="minorBidi"/>
          <w:lang w:val="en-US" w:eastAsia="en-US"/>
        </w:rPr>
        <w:t xml:space="preserve">nd CMM 2011-03/CITES App 2, and </w:t>
      </w:r>
      <w:r w:rsidRPr="005B629C">
        <w:rPr>
          <w:rFonts w:asciiTheme="minorHAnsi" w:eastAsiaTheme="minorEastAsia" w:hAnsiTheme="minorHAnsi" w:cstheme="minorBidi"/>
          <w:lang w:val="en-US" w:eastAsia="en-US"/>
        </w:rPr>
        <w:t>ensuring shark monitoring objectives are h</w:t>
      </w:r>
      <w:r>
        <w:rPr>
          <w:rFonts w:asciiTheme="minorHAnsi" w:eastAsiaTheme="minorEastAsia" w:hAnsiTheme="minorHAnsi" w:cstheme="minorBidi"/>
          <w:lang w:val="en-US" w:eastAsia="en-US"/>
        </w:rPr>
        <w:t>armonized with observer programs</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Establishing shark NPOA and revising/extending sea turtle NPOA</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t>Implementing effective management mitigation measures for turtles which are consistent with national and international (WCPFC) obligations</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t xml:space="preserve">Establishing fisher awareness </w:t>
      </w:r>
      <w:proofErr w:type="spellStart"/>
      <w:r w:rsidRPr="005B629C">
        <w:rPr>
          <w:rFonts w:asciiTheme="minorHAnsi" w:eastAsiaTheme="minorEastAsia" w:hAnsiTheme="minorHAnsi" w:cstheme="minorBidi"/>
          <w:lang w:val="en-US" w:eastAsia="en-US"/>
        </w:rPr>
        <w:t>programmes</w:t>
      </w:r>
      <w:proofErr w:type="spellEnd"/>
      <w:r w:rsidRPr="005B629C">
        <w:rPr>
          <w:rFonts w:asciiTheme="minorHAnsi" w:eastAsiaTheme="minorEastAsia" w:hAnsiTheme="minorHAnsi" w:cstheme="minorBidi"/>
          <w:lang w:val="en-US" w:eastAsia="en-US"/>
        </w:rPr>
        <w:t xml:space="preserve"> related to shark and sea turtle management interventions above</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Operationalizing</w:t>
      </w:r>
      <w:r w:rsidRPr="005B629C">
        <w:rPr>
          <w:rFonts w:asciiTheme="minorHAnsi" w:eastAsiaTheme="minorEastAsia" w:hAnsiTheme="minorHAnsi" w:cstheme="minorBidi"/>
          <w:lang w:val="en-US" w:eastAsia="en-US"/>
        </w:rPr>
        <w:t xml:space="preserve"> a Tuna Fishery Management Council, with roles &amp; responsibilities defined </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lastRenderedPageBreak/>
        <w:t xml:space="preserve">Developing work plans with key industry partners on direct field support, such as </w:t>
      </w:r>
      <w:proofErr w:type="spellStart"/>
      <w:r w:rsidRPr="005B629C">
        <w:rPr>
          <w:rFonts w:asciiTheme="minorHAnsi" w:eastAsiaTheme="minorEastAsia" w:hAnsiTheme="minorHAnsi" w:cstheme="minorBidi"/>
          <w:lang w:val="en-US" w:eastAsia="en-US"/>
        </w:rPr>
        <w:t>bycatch</w:t>
      </w:r>
      <w:proofErr w:type="spellEnd"/>
      <w:r w:rsidRPr="005B629C">
        <w:rPr>
          <w:rFonts w:asciiTheme="minorHAnsi" w:eastAsiaTheme="minorEastAsia" w:hAnsiTheme="minorHAnsi" w:cstheme="minorBidi"/>
          <w:lang w:val="en-US" w:eastAsia="en-US"/>
        </w:rPr>
        <w:t xml:space="preserve"> monitoring and observer program expansion (as per above)</w:t>
      </w:r>
    </w:p>
    <w:p w:rsidR="005B629C" w:rsidRDefault="005B629C" w:rsidP="005B629C">
      <w:pPr>
        <w:pStyle w:val="ListParagraph"/>
        <w:numPr>
          <w:ilvl w:val="0"/>
          <w:numId w:val="7"/>
        </w:numPr>
        <w:jc w:val="both"/>
        <w:rPr>
          <w:rFonts w:asciiTheme="minorHAnsi" w:eastAsiaTheme="minorEastAsia" w:hAnsiTheme="minorHAnsi" w:cstheme="minorBidi"/>
          <w:lang w:val="en-US" w:eastAsia="en-US"/>
        </w:rPr>
      </w:pPr>
      <w:r w:rsidRPr="005B629C">
        <w:rPr>
          <w:rFonts w:asciiTheme="minorHAnsi" w:eastAsiaTheme="minorEastAsia" w:hAnsiTheme="minorHAnsi" w:cstheme="minorBidi"/>
          <w:lang w:val="en-US" w:eastAsia="en-US"/>
        </w:rPr>
        <w:t>Developing and agreeing on (with industry and government stakeholders) the minimum stand</w:t>
      </w:r>
      <w:r>
        <w:rPr>
          <w:rFonts w:asciiTheme="minorHAnsi" w:eastAsiaTheme="minorEastAsia" w:hAnsiTheme="minorHAnsi" w:cstheme="minorBidi"/>
          <w:lang w:val="en-US" w:eastAsia="en-US"/>
        </w:rPr>
        <w:t>ards for traceability and implementation road map</w:t>
      </w:r>
    </w:p>
    <w:p w:rsidR="005B7FEA" w:rsidRPr="005B629C" w:rsidRDefault="005B629C" w:rsidP="005B629C">
      <w:pPr>
        <w:pStyle w:val="ListParagraph"/>
        <w:numPr>
          <w:ilvl w:val="0"/>
          <w:numId w:val="7"/>
        </w:num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 xml:space="preserve">Completing a </w:t>
      </w:r>
      <w:r w:rsidRPr="005B629C">
        <w:rPr>
          <w:rFonts w:asciiTheme="minorHAnsi" w:eastAsiaTheme="minorEastAsia" w:hAnsiTheme="minorHAnsi" w:cstheme="minorBidi"/>
          <w:lang w:val="en-US" w:eastAsia="en-US"/>
        </w:rPr>
        <w:t xml:space="preserve">FIP financing plan </w:t>
      </w:r>
      <w:r>
        <w:rPr>
          <w:rFonts w:asciiTheme="minorHAnsi" w:eastAsiaTheme="minorEastAsia" w:hAnsiTheme="minorHAnsi" w:cstheme="minorBidi"/>
          <w:lang w:val="en-US" w:eastAsia="en-US"/>
        </w:rPr>
        <w:t xml:space="preserve">developed </w:t>
      </w:r>
      <w:r w:rsidRPr="005B629C">
        <w:rPr>
          <w:rFonts w:asciiTheme="minorHAnsi" w:eastAsiaTheme="minorEastAsia" w:hAnsiTheme="minorHAnsi" w:cstheme="minorBidi"/>
          <w:lang w:val="en-US" w:eastAsia="en-US"/>
        </w:rPr>
        <w:t xml:space="preserve">with industry and government partners, as well as continue to secure direct support through industry supply chains. The financing plan will clarify </w:t>
      </w:r>
      <w:proofErr w:type="spellStart"/>
      <w:r w:rsidRPr="005B629C">
        <w:rPr>
          <w:rFonts w:asciiTheme="minorHAnsi" w:eastAsiaTheme="minorEastAsia" w:hAnsiTheme="minorHAnsi" w:cstheme="minorBidi"/>
          <w:lang w:val="en-US" w:eastAsia="en-US"/>
        </w:rPr>
        <w:t>GoV</w:t>
      </w:r>
      <w:proofErr w:type="spellEnd"/>
      <w:r w:rsidRPr="005B629C">
        <w:rPr>
          <w:rFonts w:asciiTheme="minorHAnsi" w:eastAsiaTheme="minorEastAsia" w:hAnsiTheme="minorHAnsi" w:cstheme="minorBidi"/>
          <w:lang w:val="en-US" w:eastAsia="en-US"/>
        </w:rPr>
        <w:t xml:space="preserve"> parallel support and outline a range of fina</w:t>
      </w:r>
      <w:r>
        <w:rPr>
          <w:rFonts w:asciiTheme="minorHAnsi" w:eastAsiaTheme="minorEastAsia" w:hAnsiTheme="minorHAnsi" w:cstheme="minorBidi"/>
          <w:lang w:val="en-US" w:eastAsia="en-US"/>
        </w:rPr>
        <w:t xml:space="preserve">ncing options </w:t>
      </w:r>
      <w:r w:rsidRPr="005B629C">
        <w:rPr>
          <w:rFonts w:asciiTheme="minorHAnsi" w:eastAsiaTheme="minorEastAsia" w:hAnsiTheme="minorHAnsi" w:cstheme="minorBidi"/>
          <w:lang w:val="en-US" w:eastAsia="en-US"/>
        </w:rPr>
        <w:t>to be applied to Action Plan implementation</w:t>
      </w:r>
    </w:p>
    <w:p w:rsidR="005B629C" w:rsidRDefault="005B629C" w:rsidP="005B7FEA">
      <w:pPr>
        <w:jc w:val="both"/>
        <w:rPr>
          <w:rFonts w:asciiTheme="minorHAnsi" w:eastAsiaTheme="minorEastAsia" w:hAnsiTheme="minorHAnsi" w:cstheme="minorBidi"/>
          <w:b/>
          <w:lang w:val="en-US" w:eastAsia="en-US"/>
        </w:rPr>
      </w:pPr>
    </w:p>
    <w:p w:rsidR="005B629C" w:rsidRDefault="005B629C" w:rsidP="005B7FEA">
      <w:pPr>
        <w:jc w:val="both"/>
        <w:rPr>
          <w:rFonts w:asciiTheme="minorHAnsi" w:eastAsiaTheme="minorEastAsia" w:hAnsiTheme="minorHAnsi" w:cstheme="minorBidi"/>
          <w:b/>
          <w:lang w:val="en-US" w:eastAsia="en-US"/>
        </w:rPr>
      </w:pPr>
    </w:p>
    <w:p w:rsidR="005B7FEA" w:rsidRPr="005B7FEA" w:rsidRDefault="005B7FEA" w:rsidP="005B7FEA">
      <w:pPr>
        <w:jc w:val="both"/>
        <w:rPr>
          <w:rFonts w:asciiTheme="minorHAnsi" w:eastAsiaTheme="minorEastAsia" w:hAnsiTheme="minorHAnsi" w:cstheme="minorBidi"/>
          <w:b/>
          <w:lang w:val="en-US" w:eastAsia="en-US"/>
        </w:rPr>
      </w:pPr>
      <w:r w:rsidRPr="005B7FEA">
        <w:rPr>
          <w:rFonts w:asciiTheme="minorHAnsi" w:eastAsiaTheme="minorEastAsia" w:hAnsiTheme="minorHAnsi" w:cstheme="minorBidi"/>
          <w:b/>
          <w:lang w:val="en-US" w:eastAsia="en-US"/>
        </w:rPr>
        <w:t>For more information contact:</w:t>
      </w:r>
    </w:p>
    <w:p w:rsidR="005B7FEA" w:rsidRDefault="005B7FEA" w:rsidP="005B7FEA">
      <w:pPr>
        <w:jc w:val="both"/>
        <w:rPr>
          <w:rFonts w:asciiTheme="minorHAnsi" w:eastAsiaTheme="minorEastAsia" w:hAnsiTheme="minorHAnsi" w:cstheme="minorBidi"/>
          <w:lang w:val="en-US" w:eastAsia="en-US"/>
        </w:rPr>
      </w:pPr>
    </w:p>
    <w:p w:rsidR="005B7FEA" w:rsidRDefault="005B7FEA" w:rsidP="005B7FEA">
      <w:p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Keith Symington</w:t>
      </w:r>
    </w:p>
    <w:p w:rsidR="005B7FEA" w:rsidRDefault="005B7FEA" w:rsidP="005B7FEA">
      <w:p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 xml:space="preserve">Vietnam </w:t>
      </w:r>
      <w:proofErr w:type="spellStart"/>
      <w:r>
        <w:rPr>
          <w:rFonts w:asciiTheme="minorHAnsi" w:eastAsiaTheme="minorEastAsia" w:hAnsiTheme="minorHAnsi" w:cstheme="minorBidi"/>
          <w:lang w:val="en-US" w:eastAsia="en-US"/>
        </w:rPr>
        <w:t>Yellowfin</w:t>
      </w:r>
      <w:proofErr w:type="spellEnd"/>
      <w:r>
        <w:rPr>
          <w:rFonts w:asciiTheme="minorHAnsi" w:eastAsiaTheme="minorEastAsia" w:hAnsiTheme="minorHAnsi" w:cstheme="minorBidi"/>
          <w:lang w:val="en-US" w:eastAsia="en-US"/>
        </w:rPr>
        <w:t xml:space="preserve"> Tuna FIP Coordinator / WWF Coral Triangle </w:t>
      </w:r>
      <w:proofErr w:type="spellStart"/>
      <w:r>
        <w:rPr>
          <w:rFonts w:asciiTheme="minorHAnsi" w:eastAsiaTheme="minorEastAsia" w:hAnsiTheme="minorHAnsi" w:cstheme="minorBidi"/>
          <w:lang w:val="en-US" w:eastAsia="en-US"/>
        </w:rPr>
        <w:t>Programme</w:t>
      </w:r>
      <w:proofErr w:type="spellEnd"/>
    </w:p>
    <w:p w:rsidR="005B7FEA" w:rsidRDefault="005B7FEA" w:rsidP="005B7FEA">
      <w:pPr>
        <w:jc w:val="both"/>
        <w:rPr>
          <w:rFonts w:asciiTheme="minorHAnsi" w:eastAsiaTheme="minorEastAsia" w:hAnsiTheme="minorHAnsi" w:cstheme="minorBidi"/>
          <w:lang w:val="en-US" w:eastAsia="en-US"/>
        </w:rPr>
      </w:pPr>
      <w:hyperlink r:id="rId11" w:history="1">
        <w:r w:rsidRPr="00CD57A0">
          <w:rPr>
            <w:rStyle w:val="Hyperlink"/>
            <w:rFonts w:asciiTheme="minorHAnsi" w:eastAsiaTheme="minorEastAsia" w:hAnsiTheme="minorHAnsi" w:cstheme="minorBidi"/>
            <w:lang w:val="en-US" w:eastAsia="en-US"/>
          </w:rPr>
          <w:t>keithsymington@yahoo.ca</w:t>
        </w:r>
      </w:hyperlink>
    </w:p>
    <w:p w:rsidR="005B7FEA" w:rsidRDefault="005B7FEA" w:rsidP="005B7FEA">
      <w:pPr>
        <w:jc w:val="both"/>
        <w:rPr>
          <w:rFonts w:asciiTheme="minorHAnsi" w:eastAsiaTheme="minorEastAsia" w:hAnsiTheme="minorHAnsi" w:cstheme="minorBidi"/>
          <w:lang w:val="en-US" w:eastAsia="en-US"/>
        </w:rPr>
      </w:pPr>
      <w:r>
        <w:rPr>
          <w:rFonts w:asciiTheme="minorHAnsi" w:eastAsiaTheme="minorEastAsia" w:hAnsiTheme="minorHAnsi" w:cstheme="minorBidi"/>
          <w:lang w:val="en-US" w:eastAsia="en-US"/>
        </w:rPr>
        <w:t>(+84)914435348</w:t>
      </w:r>
    </w:p>
    <w:p w:rsidR="005B7FEA" w:rsidRDefault="005B7FEA" w:rsidP="005B7FEA">
      <w:pPr>
        <w:jc w:val="both"/>
        <w:rPr>
          <w:rFonts w:asciiTheme="minorHAnsi" w:eastAsiaTheme="minorEastAsia" w:hAnsiTheme="minorHAnsi" w:cstheme="minorBidi"/>
          <w:lang w:val="en-US" w:eastAsia="en-US"/>
        </w:rPr>
      </w:pPr>
    </w:p>
    <w:p w:rsidR="005B7FEA" w:rsidRPr="005B7FEA" w:rsidRDefault="005B7FEA" w:rsidP="005B7FEA">
      <w:pPr>
        <w:jc w:val="both"/>
        <w:rPr>
          <w:rFonts w:asciiTheme="minorHAnsi" w:eastAsiaTheme="minorEastAsia" w:hAnsiTheme="minorHAnsi" w:cstheme="minorBidi"/>
          <w:lang w:val="en-US" w:eastAsia="en-US"/>
        </w:rPr>
      </w:pPr>
      <w:bookmarkStart w:id="3" w:name="_GoBack"/>
      <w:bookmarkEnd w:id="3"/>
    </w:p>
    <w:sectPr w:rsidR="005B7FEA" w:rsidRPr="005B7FEA" w:rsidSect="004333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DAD" w:rsidRDefault="003B7DAD" w:rsidP="00DC57DA">
      <w:r>
        <w:separator/>
      </w:r>
    </w:p>
  </w:endnote>
  <w:endnote w:type="continuationSeparator" w:id="0">
    <w:p w:rsidR="003B7DAD" w:rsidRDefault="003B7DAD" w:rsidP="00DC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DAD" w:rsidRDefault="003B7DAD" w:rsidP="00DC57DA">
      <w:r>
        <w:separator/>
      </w:r>
    </w:p>
  </w:footnote>
  <w:footnote w:type="continuationSeparator" w:id="0">
    <w:p w:rsidR="003B7DAD" w:rsidRDefault="003B7DAD" w:rsidP="00DC57DA">
      <w:r>
        <w:continuationSeparator/>
      </w:r>
    </w:p>
  </w:footnote>
  <w:footnote w:id="1">
    <w:p w:rsidR="00F24214" w:rsidRDefault="00F24214">
      <w:pPr>
        <w:pStyle w:val="FootnoteText"/>
      </w:pPr>
      <w:r>
        <w:rPr>
          <w:rStyle w:val="FootnoteReference"/>
        </w:rPr>
        <w:footnoteRef/>
      </w:r>
      <w:r>
        <w:t xml:space="preserve"> Especially the Western and Central Pacific Fisheries Commission (WCPFC) and Vietnam’s status therein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91A84"/>
    <w:multiLevelType w:val="hybridMultilevel"/>
    <w:tmpl w:val="D3EC8A12"/>
    <w:lvl w:ilvl="0" w:tplc="7CFC3EE2">
      <w:start w:val="1"/>
      <w:numFmt w:val="bullet"/>
      <w:lvlText w:val="•"/>
      <w:lvlJc w:val="left"/>
      <w:pPr>
        <w:tabs>
          <w:tab w:val="num" w:pos="720"/>
        </w:tabs>
        <w:ind w:left="720" w:hanging="360"/>
      </w:pPr>
      <w:rPr>
        <w:rFonts w:ascii="Arial" w:hAnsi="Arial" w:hint="default"/>
      </w:rPr>
    </w:lvl>
    <w:lvl w:ilvl="1" w:tplc="E96ED89E" w:tentative="1">
      <w:start w:val="1"/>
      <w:numFmt w:val="bullet"/>
      <w:lvlText w:val="•"/>
      <w:lvlJc w:val="left"/>
      <w:pPr>
        <w:tabs>
          <w:tab w:val="num" w:pos="1440"/>
        </w:tabs>
        <w:ind w:left="1440" w:hanging="360"/>
      </w:pPr>
      <w:rPr>
        <w:rFonts w:ascii="Arial" w:hAnsi="Arial" w:hint="default"/>
      </w:rPr>
    </w:lvl>
    <w:lvl w:ilvl="2" w:tplc="CEF2A34E" w:tentative="1">
      <w:start w:val="1"/>
      <w:numFmt w:val="bullet"/>
      <w:lvlText w:val="•"/>
      <w:lvlJc w:val="left"/>
      <w:pPr>
        <w:tabs>
          <w:tab w:val="num" w:pos="2160"/>
        </w:tabs>
        <w:ind w:left="2160" w:hanging="360"/>
      </w:pPr>
      <w:rPr>
        <w:rFonts w:ascii="Arial" w:hAnsi="Arial" w:hint="default"/>
      </w:rPr>
    </w:lvl>
    <w:lvl w:ilvl="3" w:tplc="8D2EC7E2" w:tentative="1">
      <w:start w:val="1"/>
      <w:numFmt w:val="bullet"/>
      <w:lvlText w:val="•"/>
      <w:lvlJc w:val="left"/>
      <w:pPr>
        <w:tabs>
          <w:tab w:val="num" w:pos="2880"/>
        </w:tabs>
        <w:ind w:left="2880" w:hanging="360"/>
      </w:pPr>
      <w:rPr>
        <w:rFonts w:ascii="Arial" w:hAnsi="Arial" w:hint="default"/>
      </w:rPr>
    </w:lvl>
    <w:lvl w:ilvl="4" w:tplc="A94AF1F2" w:tentative="1">
      <w:start w:val="1"/>
      <w:numFmt w:val="bullet"/>
      <w:lvlText w:val="•"/>
      <w:lvlJc w:val="left"/>
      <w:pPr>
        <w:tabs>
          <w:tab w:val="num" w:pos="3600"/>
        </w:tabs>
        <w:ind w:left="3600" w:hanging="360"/>
      </w:pPr>
      <w:rPr>
        <w:rFonts w:ascii="Arial" w:hAnsi="Arial" w:hint="default"/>
      </w:rPr>
    </w:lvl>
    <w:lvl w:ilvl="5" w:tplc="61F43146" w:tentative="1">
      <w:start w:val="1"/>
      <w:numFmt w:val="bullet"/>
      <w:lvlText w:val="•"/>
      <w:lvlJc w:val="left"/>
      <w:pPr>
        <w:tabs>
          <w:tab w:val="num" w:pos="4320"/>
        </w:tabs>
        <w:ind w:left="4320" w:hanging="360"/>
      </w:pPr>
      <w:rPr>
        <w:rFonts w:ascii="Arial" w:hAnsi="Arial" w:hint="default"/>
      </w:rPr>
    </w:lvl>
    <w:lvl w:ilvl="6" w:tplc="9D8808D2" w:tentative="1">
      <w:start w:val="1"/>
      <w:numFmt w:val="bullet"/>
      <w:lvlText w:val="•"/>
      <w:lvlJc w:val="left"/>
      <w:pPr>
        <w:tabs>
          <w:tab w:val="num" w:pos="5040"/>
        </w:tabs>
        <w:ind w:left="5040" w:hanging="360"/>
      </w:pPr>
      <w:rPr>
        <w:rFonts w:ascii="Arial" w:hAnsi="Arial" w:hint="default"/>
      </w:rPr>
    </w:lvl>
    <w:lvl w:ilvl="7" w:tplc="BC7C8B7A" w:tentative="1">
      <w:start w:val="1"/>
      <w:numFmt w:val="bullet"/>
      <w:lvlText w:val="•"/>
      <w:lvlJc w:val="left"/>
      <w:pPr>
        <w:tabs>
          <w:tab w:val="num" w:pos="5760"/>
        </w:tabs>
        <w:ind w:left="5760" w:hanging="360"/>
      </w:pPr>
      <w:rPr>
        <w:rFonts w:ascii="Arial" w:hAnsi="Arial" w:hint="default"/>
      </w:rPr>
    </w:lvl>
    <w:lvl w:ilvl="8" w:tplc="43D49BAA" w:tentative="1">
      <w:start w:val="1"/>
      <w:numFmt w:val="bullet"/>
      <w:lvlText w:val="•"/>
      <w:lvlJc w:val="left"/>
      <w:pPr>
        <w:tabs>
          <w:tab w:val="num" w:pos="6480"/>
        </w:tabs>
        <w:ind w:left="6480" w:hanging="360"/>
      </w:pPr>
      <w:rPr>
        <w:rFonts w:ascii="Arial" w:hAnsi="Arial" w:hint="default"/>
      </w:rPr>
    </w:lvl>
  </w:abstractNum>
  <w:abstractNum w:abstractNumId="1">
    <w:nsid w:val="1679548C"/>
    <w:multiLevelType w:val="multilevel"/>
    <w:tmpl w:val="D8C2450A"/>
    <w:lvl w:ilvl="0">
      <w:start w:val="1"/>
      <w:numFmt w:val="decimal"/>
      <w:lvlText w:val="%1."/>
      <w:lvlJc w:val="left"/>
      <w:pPr>
        <w:tabs>
          <w:tab w:val="num" w:pos="720"/>
        </w:tabs>
        <w:ind w:left="720" w:hanging="360"/>
      </w:pPr>
    </w:lvl>
    <w:lvl w:ilvl="1">
      <w:start w:val="41"/>
      <w:numFmt w:val="decimal"/>
      <w:lvlText w:val="%2."/>
      <w:lvlJc w:val="left"/>
      <w:pPr>
        <w:tabs>
          <w:tab w:val="num" w:pos="1440"/>
        </w:tabs>
        <w:ind w:left="1440" w:hanging="360"/>
      </w:pPr>
    </w:lvl>
    <w:lvl w:ilvl="2">
      <w:start w:val="1"/>
      <w:numFmt w:val="upperLetter"/>
      <w:lvlText w:val="%3."/>
      <w:lvlJc w:val="left"/>
      <w:pPr>
        <w:tabs>
          <w:tab w:val="num" w:pos="2370"/>
        </w:tabs>
        <w:ind w:left="2370" w:hanging="39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1D81E9F"/>
    <w:multiLevelType w:val="hybridMultilevel"/>
    <w:tmpl w:val="9AAC46F0"/>
    <w:lvl w:ilvl="0" w:tplc="6A1C5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C1443"/>
    <w:multiLevelType w:val="hybridMultilevel"/>
    <w:tmpl w:val="537E75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72C66D65"/>
    <w:multiLevelType w:val="hybridMultilevel"/>
    <w:tmpl w:val="1C66C302"/>
    <w:lvl w:ilvl="0" w:tplc="C35055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17690"/>
    <w:multiLevelType w:val="hybridMultilevel"/>
    <w:tmpl w:val="6856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D68A4"/>
    <w:multiLevelType w:val="hybridMultilevel"/>
    <w:tmpl w:val="A6E2B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DA"/>
    <w:rsid w:val="0005016F"/>
    <w:rsid w:val="00056609"/>
    <w:rsid w:val="00086C3E"/>
    <w:rsid w:val="00255FCE"/>
    <w:rsid w:val="002E11EB"/>
    <w:rsid w:val="003A3ABC"/>
    <w:rsid w:val="003B7DAD"/>
    <w:rsid w:val="0043338C"/>
    <w:rsid w:val="005310E7"/>
    <w:rsid w:val="005B629C"/>
    <w:rsid w:val="005B7FEA"/>
    <w:rsid w:val="00621B05"/>
    <w:rsid w:val="00655F58"/>
    <w:rsid w:val="006A3F52"/>
    <w:rsid w:val="007909CC"/>
    <w:rsid w:val="007F0F01"/>
    <w:rsid w:val="007F3917"/>
    <w:rsid w:val="00936DDC"/>
    <w:rsid w:val="00951E40"/>
    <w:rsid w:val="00AD7982"/>
    <w:rsid w:val="00B12EE0"/>
    <w:rsid w:val="00BB1152"/>
    <w:rsid w:val="00C11267"/>
    <w:rsid w:val="00DC57DA"/>
    <w:rsid w:val="00DD308F"/>
    <w:rsid w:val="00E16EFB"/>
    <w:rsid w:val="00E634B1"/>
    <w:rsid w:val="00ED0730"/>
    <w:rsid w:val="00F24214"/>
    <w:rsid w:val="00F27666"/>
    <w:rsid w:val="00F61232"/>
    <w:rsid w:val="00FB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B0A3A-FEB3-4723-92BF-6B5D37A2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7DA"/>
    <w:pPr>
      <w:spacing w:after="0" w:line="240" w:lineRule="auto"/>
    </w:pPr>
    <w:rPr>
      <w:rFonts w:ascii="Calibri" w:hAnsi="Calibri"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7DA"/>
    <w:pPr>
      <w:ind w:left="720"/>
    </w:pPr>
  </w:style>
  <w:style w:type="paragraph" w:styleId="FootnoteText">
    <w:name w:val="footnote text"/>
    <w:aliases w:val="Fußnote,Nbpage Moens,BRS FOOTNOTE TEXT,fn,Footnotes,Footnote ak,Footnote Text Char Char Char Char,Footnote Text Char Char,footnote text,ft,Footnote Text Char Char2,Footnote Text Char Char Char Char Char Char Char,FOOTNOTES"/>
    <w:basedOn w:val="Normal"/>
    <w:link w:val="FootnoteTextChar"/>
    <w:uiPriority w:val="99"/>
    <w:unhideWhenUsed/>
    <w:rsid w:val="00DC57DA"/>
    <w:rPr>
      <w:rFonts w:asciiTheme="minorHAnsi" w:eastAsiaTheme="minorEastAsia" w:hAnsiTheme="minorHAnsi" w:cstheme="minorBidi"/>
      <w:sz w:val="20"/>
      <w:szCs w:val="20"/>
      <w:lang w:val="en-US" w:eastAsia="en-US"/>
    </w:rPr>
  </w:style>
  <w:style w:type="character" w:customStyle="1" w:styleId="FootnoteTextChar">
    <w:name w:val="Footnote Text Char"/>
    <w:aliases w:val="Fußnote Char,Nbpage Moens Char,BRS FOOTNOTE TEXT Char,fn Char,Footnotes Char,Footnote ak Char,Footnote Text Char Char Char Char Char,Footnote Text Char Char Char,footnote text Char,ft Char,Footnote Text Char Char2 Char,FOOTNOTES Char"/>
    <w:basedOn w:val="DefaultParagraphFont"/>
    <w:link w:val="FootnoteText"/>
    <w:uiPriority w:val="99"/>
    <w:rsid w:val="00DC57DA"/>
    <w:rPr>
      <w:rFonts w:eastAsiaTheme="minorEastAsia"/>
      <w:sz w:val="20"/>
      <w:szCs w:val="20"/>
    </w:rPr>
  </w:style>
  <w:style w:type="character" w:styleId="FootnoteReference">
    <w:name w:val="footnote reference"/>
    <w:aliases w:val="Footnote Reference - Carlos,stylish,fr,ftref,16 Point,Superscript 6 Point"/>
    <w:basedOn w:val="DefaultParagraphFont"/>
    <w:uiPriority w:val="99"/>
    <w:unhideWhenUsed/>
    <w:qFormat/>
    <w:rsid w:val="00DC57DA"/>
    <w:rPr>
      <w:vertAlign w:val="superscript"/>
    </w:rPr>
  </w:style>
  <w:style w:type="paragraph" w:styleId="NormalWeb">
    <w:name w:val="Normal (Web)"/>
    <w:basedOn w:val="Normal"/>
    <w:uiPriority w:val="99"/>
    <w:semiHidden/>
    <w:unhideWhenUsed/>
    <w:rsid w:val="00DC57DA"/>
    <w:pPr>
      <w:spacing w:before="100" w:beforeAutospacing="1" w:after="100" w:afterAutospacing="1"/>
    </w:pPr>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056609"/>
    <w:rPr>
      <w:rFonts w:ascii="Tahoma" w:hAnsi="Tahoma" w:cs="Tahoma"/>
      <w:sz w:val="16"/>
      <w:szCs w:val="16"/>
    </w:rPr>
  </w:style>
  <w:style w:type="character" w:customStyle="1" w:styleId="BalloonTextChar">
    <w:name w:val="Balloon Text Char"/>
    <w:basedOn w:val="DefaultParagraphFont"/>
    <w:link w:val="BalloonText"/>
    <w:uiPriority w:val="99"/>
    <w:semiHidden/>
    <w:rsid w:val="00056609"/>
    <w:rPr>
      <w:rFonts w:ascii="Tahoma" w:hAnsi="Tahoma" w:cs="Tahoma"/>
      <w:sz w:val="16"/>
      <w:szCs w:val="16"/>
      <w:lang w:val="en-AU" w:eastAsia="en-AU"/>
    </w:rPr>
  </w:style>
  <w:style w:type="paragraph" w:styleId="EndnoteText">
    <w:name w:val="endnote text"/>
    <w:basedOn w:val="Normal"/>
    <w:link w:val="EndnoteTextChar"/>
    <w:uiPriority w:val="99"/>
    <w:semiHidden/>
    <w:unhideWhenUsed/>
    <w:rsid w:val="00936DDC"/>
    <w:rPr>
      <w:sz w:val="20"/>
      <w:szCs w:val="20"/>
    </w:rPr>
  </w:style>
  <w:style w:type="character" w:customStyle="1" w:styleId="EndnoteTextChar">
    <w:name w:val="Endnote Text Char"/>
    <w:basedOn w:val="DefaultParagraphFont"/>
    <w:link w:val="EndnoteText"/>
    <w:uiPriority w:val="99"/>
    <w:semiHidden/>
    <w:rsid w:val="00936DDC"/>
    <w:rPr>
      <w:rFonts w:ascii="Calibri" w:hAnsi="Calibri" w:cs="Times New Roman"/>
      <w:sz w:val="20"/>
      <w:szCs w:val="20"/>
      <w:lang w:val="en-AU" w:eastAsia="en-AU"/>
    </w:rPr>
  </w:style>
  <w:style w:type="character" w:styleId="EndnoteReference">
    <w:name w:val="endnote reference"/>
    <w:basedOn w:val="DefaultParagraphFont"/>
    <w:uiPriority w:val="99"/>
    <w:semiHidden/>
    <w:unhideWhenUsed/>
    <w:rsid w:val="00936DDC"/>
    <w:rPr>
      <w:vertAlign w:val="superscript"/>
    </w:rPr>
  </w:style>
  <w:style w:type="table" w:styleId="TableGrid">
    <w:name w:val="Table Grid"/>
    <w:basedOn w:val="TableNormal"/>
    <w:uiPriority w:val="39"/>
    <w:rsid w:val="00F61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thsymington@yahoo.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6EFD9-422F-4EB2-B459-A0D6776D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 Pet Soede</dc:creator>
  <cp:lastModifiedBy>User</cp:lastModifiedBy>
  <cp:revision>4</cp:revision>
  <dcterms:created xsi:type="dcterms:W3CDTF">2014-09-23T16:11:00Z</dcterms:created>
  <dcterms:modified xsi:type="dcterms:W3CDTF">2014-09-23T16:32:00Z</dcterms:modified>
</cp:coreProperties>
</file>